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31" w:rsidRDefault="004A1772" w:rsidP="00925800">
      <w:pPr>
        <w:pStyle w:val="Normlnywebov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Theme="majorHAnsi" w:hAnsiTheme="majorHAnsi" w:cs="Arial"/>
          <w:b/>
        </w:rPr>
      </w:pPr>
      <w:r w:rsidRPr="004A1772">
        <w:rPr>
          <w:rFonts w:asciiTheme="majorHAnsi" w:hAnsiTheme="majorHAnsi" w:cs="Arial"/>
          <w:b/>
        </w:rPr>
        <w:t>Oznámenie pre žiadateľov o</w:t>
      </w:r>
      <w:r>
        <w:rPr>
          <w:rFonts w:asciiTheme="majorHAnsi" w:hAnsiTheme="majorHAnsi" w:cs="Arial"/>
          <w:b/>
        </w:rPr>
        <w:t> platb</w:t>
      </w:r>
      <w:r w:rsidR="00C07409">
        <w:rPr>
          <w:rFonts w:asciiTheme="majorHAnsi" w:hAnsiTheme="majorHAnsi" w:cs="Arial"/>
          <w:b/>
        </w:rPr>
        <w:t>u</w:t>
      </w:r>
      <w:r>
        <w:rPr>
          <w:rFonts w:asciiTheme="majorHAnsi" w:hAnsiTheme="majorHAnsi" w:cs="Arial"/>
          <w:b/>
        </w:rPr>
        <w:t xml:space="preserve"> na ekologické poľnohospodárstvo</w:t>
      </w:r>
      <w:r w:rsidR="00681CB3">
        <w:rPr>
          <w:rFonts w:asciiTheme="majorHAnsi" w:hAnsiTheme="majorHAnsi" w:cs="Arial"/>
          <w:b/>
        </w:rPr>
        <w:t xml:space="preserve"> </w:t>
      </w:r>
      <w:r w:rsidR="005411E7">
        <w:rPr>
          <w:rFonts w:asciiTheme="majorHAnsi" w:hAnsiTheme="majorHAnsi" w:cs="Arial"/>
          <w:b/>
        </w:rPr>
        <w:t>na rok 2015</w:t>
      </w:r>
      <w:r w:rsidR="00925800">
        <w:rPr>
          <w:rFonts w:asciiTheme="majorHAnsi" w:hAnsiTheme="majorHAnsi" w:cs="Arial"/>
          <w:b/>
        </w:rPr>
        <w:t xml:space="preserve"> s chybou na register ekologických výrobcov</w:t>
      </w:r>
    </w:p>
    <w:p w:rsidR="004A1772" w:rsidRPr="004A1772" w:rsidRDefault="004A1772" w:rsidP="00A40F67">
      <w:pPr>
        <w:pStyle w:val="Normlnywebov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Theme="majorHAnsi" w:hAnsiTheme="majorHAnsi" w:cs="Arial"/>
          <w:b/>
        </w:rPr>
      </w:pPr>
    </w:p>
    <w:p w:rsidR="009A5C65" w:rsidRDefault="00106D0A" w:rsidP="00A40F67">
      <w:pPr>
        <w:pStyle w:val="Normlnywebov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9A5C65">
        <w:rPr>
          <w:rFonts w:asciiTheme="majorHAnsi" w:hAnsiTheme="majorHAnsi" w:cs="Arial"/>
          <w:color w:val="000000"/>
          <w:sz w:val="20"/>
          <w:szCs w:val="20"/>
        </w:rPr>
        <w:t xml:space="preserve">Pôdohospodárska platobná agentúra (ďalej len „PPA“) dáva </w:t>
      </w:r>
      <w:r w:rsidRPr="009A5C65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žiada</w:t>
      </w:r>
      <w:r w:rsidR="009C3088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teľom, ktorí </w:t>
      </w:r>
      <w:r w:rsid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p</w:t>
      </w:r>
      <w:r w:rsidR="009C3088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redložili </w:t>
      </w:r>
      <w:r w:rsid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v roku 2015 </w:t>
      </w:r>
      <w:r w:rsidR="009C3088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žiadosť o poskytnutie podpory</w:t>
      </w:r>
      <w:r w:rsidR="00AC060A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A1772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formou platby </w:t>
      </w:r>
      <w:r w:rsidR="00AC060A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n</w:t>
      </w:r>
      <w:r w:rsidR="006A7D16" w:rsidRPr="009A5C65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a ekologické poľnohospodárstvo</w:t>
      </w:r>
      <w:r w:rsidR="00AB3044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a ktorým bolo doručené oznámenie o nesúlade vo výmerách vzťahujúce sa k tejto podpore,</w:t>
      </w:r>
      <w:r w:rsidRPr="009A5C65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81CB3" w:rsidRPr="009A5C65">
        <w:rPr>
          <w:rFonts w:asciiTheme="majorHAnsi" w:hAnsiTheme="majorHAnsi" w:cs="Arial"/>
          <w:color w:val="000000"/>
          <w:sz w:val="20"/>
          <w:szCs w:val="20"/>
        </w:rPr>
        <w:t>do pozornosti</w:t>
      </w:r>
      <w:r w:rsidR="00681CB3" w:rsidRPr="009A5C65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="00681CB3" w:rsidRPr="00AC060A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S</w:t>
      </w:r>
      <w:r w:rsidR="003213DE" w:rsidRPr="00AC060A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tan</w:t>
      </w:r>
      <w:r w:rsidR="003213DE" w:rsidRPr="009A5C6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ovisko </w:t>
      </w:r>
      <w:r w:rsidR="00AC060A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Ministerstva pôdohospodárstva a rozvoja vidieka SR</w:t>
      </w:r>
      <w:r w:rsidR="003213DE" w:rsidRPr="009A5C6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AB3044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(ďalej len „MPRV SR</w:t>
      </w:r>
      <w:r w:rsidR="00AB3044" w:rsidRPr="000F0A31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“) </w:t>
      </w:r>
      <w:r w:rsidR="003213DE" w:rsidRPr="000F0A31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vo veci problémov s identifikáciou plôch na register ekologickej poľnohospodárskej výroby</w:t>
      </w:r>
      <w:r w:rsidR="00D35639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(ďalej len „REV“)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5411E7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doručené na PPA d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ňa</w:t>
      </w:r>
      <w:r w:rsidR="005411E7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03.05.2016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(ďalej „stanovisko“). V stanovisku MPRV SR okrem iného uvádza nasledovné odpovede </w:t>
      </w:r>
      <w:r w:rsidR="009A5C6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k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 problémom, ktoré PPA zistila </w:t>
      </w:r>
      <w:r w:rsidR="009A5C6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pri 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administratívnej kontrole žiadostí </w:t>
      </w:r>
      <w:r w:rsidR="009A5C6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porovn</w:t>
      </w:r>
      <w:r w:rsidR="00B13F39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a</w:t>
      </w:r>
      <w:r w:rsidR="009A5C6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ní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m žiadateľmi nahlásených ú</w:t>
      </w:r>
      <w:r w:rsidR="009A5C6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dajov s údajmi zapísanými v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 </w:t>
      </w:r>
      <w:r w:rsidR="00B13F39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REV</w:t>
      </w:r>
      <w:r w:rsid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:</w:t>
      </w:r>
    </w:p>
    <w:p w:rsidR="009A5C65" w:rsidRDefault="009A5C65" w:rsidP="003213DE">
      <w:pPr>
        <w:pStyle w:val="Normlnywebov"/>
        <w:shd w:val="clear" w:color="auto" w:fill="FFFFFF"/>
        <w:spacing w:before="0" w:beforeAutospacing="0" w:after="0" w:afterAutospacing="0"/>
        <w:ind w:left="150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9A5C65" w:rsidRPr="005411E7" w:rsidRDefault="00D35639" w:rsidP="00A40F6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Situácia: 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Žiadateľom deklarovaná výmera na </w:t>
      </w:r>
      <w:r w:rsidR="00AB3044"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diele pôdneho bloku (ďalej len „DPB“)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je vyššia ako tá, ktorú má registrovanú v REV.</w:t>
      </w:r>
    </w:p>
    <w:p w:rsidR="00D35639" w:rsidRDefault="00DA13F3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u w:val="single"/>
          <w:bdr w:val="none" w:sz="0" w:space="0" w:color="auto" w:frame="1"/>
        </w:rPr>
        <w:t>Stanovisko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: </w:t>
      </w:r>
      <w:r w:rsidR="00AB3044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Relevantná je</w:t>
      </w:r>
      <w:r w:rsidR="005D6881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výmer</w:t>
      </w:r>
      <w:r w:rsidR="00AB3044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a</w:t>
      </w:r>
      <w:r w:rsidR="00D35639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DPB </w:t>
      </w:r>
      <w:r w:rsidR="005D6881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registrovan</w:t>
      </w:r>
      <w:r w:rsidR="00AB3044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á</w:t>
      </w:r>
      <w:r w:rsidR="00D35639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v REV. Prílohu k žiadosti tvorí podľa § 32, ods. 3 nariadenia vlády Slovenskej republiky č. 75/2015 Z. z.:</w:t>
      </w:r>
    </w:p>
    <w:p w:rsidR="00D35639" w:rsidRDefault="00D35639" w:rsidP="00A40F6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zoznam dielov pôdnych blokov s uvedením druhu pozemku a výmery poľnohospodárskej pôdy, na ktorú sa má vzťahovať záväzok, s označením plochy, v konverzii s uvedením trvania konverzie,</w:t>
      </w:r>
    </w:p>
    <w:p w:rsidR="00D35639" w:rsidRDefault="00D35639" w:rsidP="00A40F6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grafická príloha s vyznačením poľnohospodárskej pôdy podľa písmena a),</w:t>
      </w:r>
    </w:p>
    <w:p w:rsidR="00D35639" w:rsidRDefault="00D35639" w:rsidP="00A40F6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aktuálna kópia oznámenia o registrácii žiadateľa v registri ekologickej poľnohospodárskej výroby s uvedením druhu chovaných zvierat k 1. máju prvého roku záväzku.</w:t>
      </w:r>
    </w:p>
    <w:p w:rsidR="00D35639" w:rsidRDefault="00D35639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Žiadateľ </w:t>
      </w:r>
      <w:r w:rsidR="00D808DA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mal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do deklarácie uviesť výmery DPB, ktoré má na poslednom aktuálne platnom oznámení o registrácii. </w:t>
      </w:r>
    </w:p>
    <w:p w:rsidR="005D6881" w:rsidRDefault="005D6881" w:rsidP="00D35639">
      <w:pPr>
        <w:pStyle w:val="Normlnywebov"/>
        <w:shd w:val="clear" w:color="auto" w:fill="FFFFFF"/>
        <w:spacing w:before="0" w:beforeAutospacing="0" w:after="0" w:afterAutospacing="0"/>
        <w:ind w:left="510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D35639" w:rsidRDefault="00AB3044" w:rsidP="00A40F6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Situácia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: Kontrola na mieste</w:t>
      </w:r>
      <w:r w:rsidR="00D808DA"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(ďalej len „KNM“)</w:t>
      </w:r>
      <w:r w:rsidR="00D35639"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u žiadateľa namerala na DPB vyššiu výmeru, ako si deklaroval v žiadosti, a aj ako je výmera registrovaná v REV.</w:t>
      </w:r>
      <w:r w:rsidR="00D35639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D35639" w:rsidRDefault="00D35639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u w:val="single"/>
          <w:bdr w:val="none" w:sz="0" w:space="0" w:color="auto" w:frame="1"/>
        </w:rPr>
        <w:t>Stanovisko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: </w:t>
      </w:r>
      <w:r w:rsidR="00DA13F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Pokiaľ KNM zistila fyzicky vyššiu výmeru ako je deklarovaná v žiadosti i v REV, bude uznaná výmera podľa údajov v žiadosti (pokiaľ je zhodná s výmerou v REV a sú všetky diely registrované). Do žiadosti si žiadateľ mal vpísať údaje zhodné s údajmi v REV, teda v oznámení o registrácii.</w:t>
      </w:r>
    </w:p>
    <w:p w:rsidR="005D6881" w:rsidRDefault="005D6881" w:rsidP="00D35639">
      <w:pPr>
        <w:pStyle w:val="Normlnywebov"/>
        <w:shd w:val="clear" w:color="auto" w:fill="FFFFFF"/>
        <w:spacing w:before="0" w:beforeAutospacing="0" w:after="0" w:afterAutospacing="0"/>
        <w:ind w:left="510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DA13F3" w:rsidRDefault="00DA13F3" w:rsidP="00A40F6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Situácia: 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Došlo k</w:t>
      </w:r>
      <w:r w:rsidR="00D808DA"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 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zmene</w:t>
      </w:r>
      <w:r w:rsidR="00D808DA"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LPIS-u a DPB sa v REV nezmenil (žiadateľ nenahlásil zmenu).</w:t>
      </w:r>
    </w:p>
    <w:p w:rsidR="00DA13F3" w:rsidRDefault="00DA13F3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681CB3">
        <w:rPr>
          <w:rStyle w:val="Siln"/>
          <w:rFonts w:asciiTheme="majorHAnsi" w:hAnsiTheme="majorHAnsi" w:cs="Arial"/>
          <w:b w:val="0"/>
          <w:color w:val="000000"/>
          <w:sz w:val="20"/>
          <w:szCs w:val="20"/>
          <w:u w:val="single"/>
          <w:bdr w:val="none" w:sz="0" w:space="0" w:color="auto" w:frame="1"/>
        </w:rPr>
        <w:t>Stanovisko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: Pokiaľ žiadateľovi bola známa zmena LPIS, mal túto zmenu (akúkoľvek) </w:t>
      </w:r>
      <w:r w:rsidR="005D6881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pre aktuálny rok 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nahlásiť do REV v zmysle § 7, písm. b) zákona č. 189/2009 Z. z. o</w:t>
      </w:r>
      <w:r w:rsidR="006A7990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 ekologickej poľnohospodárskej výrobe (ďalej len „EPV“)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.</w:t>
      </w:r>
    </w:p>
    <w:p w:rsidR="005D6881" w:rsidRDefault="005D6881" w:rsidP="00DA13F3">
      <w:pPr>
        <w:pStyle w:val="Normlnywebov"/>
        <w:shd w:val="clear" w:color="auto" w:fill="FFFFFF"/>
        <w:spacing w:before="0" w:beforeAutospacing="0" w:after="0" w:afterAutospacing="0"/>
        <w:ind w:left="510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DA13F3" w:rsidRDefault="00DA13F3" w:rsidP="00A40F6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Situácia: 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Žiadateľ má v REV časť DPB v konverzii a časť mimo konverzie, pričom v deklarácii má celý DPB deklarovaný v konverzii alebo mimo konverzie.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681CB3" w:rsidRDefault="0041529F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 w:rsidRPr="00681CB3">
        <w:rPr>
          <w:rStyle w:val="Siln"/>
          <w:rFonts w:asciiTheme="majorHAnsi" w:hAnsiTheme="majorHAnsi" w:cs="Arial"/>
          <w:b w:val="0"/>
          <w:sz w:val="20"/>
          <w:szCs w:val="20"/>
          <w:u w:val="single"/>
          <w:bdr w:val="none" w:sz="0" w:space="0" w:color="auto" w:frame="1"/>
        </w:rPr>
        <w:t>Stanovisko</w:t>
      </w:r>
      <w:r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: </w:t>
      </w:r>
      <w:r w:rsidR="008E0F2B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V tomto prípade odporúčame akceptovať údaj v deklarácii. V registri a na oznámení je bežne uvedená časť dielu v inom štatúte, to je v súlade s pravidlami EPV. Asi by bolo správnejšie v takýchto prípadoch, aby si sám žiadateľ rozdelil diel na toľko častí, koľko má v ňom štatútov a rozpísal to. Inak výška platby je v oboch štatútoch rovnaká.</w:t>
      </w:r>
    </w:p>
    <w:p w:rsidR="008E0F2B" w:rsidRDefault="008E0F2B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</w:p>
    <w:p w:rsidR="008E0F2B" w:rsidRDefault="00D15EE9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sz w:val="20"/>
          <w:szCs w:val="20"/>
          <w:u w:val="single"/>
          <w:bdr w:val="none" w:sz="0" w:space="0" w:color="auto" w:frame="1"/>
        </w:rPr>
        <w:t>Postup</w:t>
      </w:r>
      <w:r w:rsidR="008E0F2B" w:rsidRPr="008E0F2B">
        <w:rPr>
          <w:rStyle w:val="Siln"/>
          <w:rFonts w:asciiTheme="majorHAnsi" w:hAnsiTheme="majorHAnsi" w:cs="Arial"/>
          <w:b w:val="0"/>
          <w:sz w:val="20"/>
          <w:szCs w:val="20"/>
          <w:u w:val="single"/>
          <w:bdr w:val="none" w:sz="0" w:space="0" w:color="auto" w:frame="1"/>
        </w:rPr>
        <w:t xml:space="preserve"> PPA</w:t>
      </w:r>
      <w:r w:rsidR="008E0F2B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: </w:t>
      </w:r>
    </w:p>
    <w:p w:rsidR="008E0F2B" w:rsidRDefault="008E0F2B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 w:rsidRPr="008E0F2B">
        <w:rPr>
          <w:rStyle w:val="Siln"/>
          <w:rFonts w:asciiTheme="majorHAnsi" w:hAnsiTheme="majorHAnsi" w:cs="Arial"/>
          <w:sz w:val="20"/>
          <w:szCs w:val="20"/>
          <w:bdr w:val="none" w:sz="0" w:space="0" w:color="auto" w:frame="1"/>
        </w:rPr>
        <w:t>Pre rok 2015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: </w:t>
      </w:r>
      <w:r w:rsidR="004A1772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Vzhľadom na to, že výška podpory je v oboch štatútoch rovnaká,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a nakoľko v tomto štádiu administrovania žiadostí </w:t>
      </w:r>
      <w:r w:rsidR="005411E7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už 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nie je možné dodatočne upravovať deklarácie v jednotných žiadostiach na rok 2015, PPA bude p</w:t>
      </w:r>
      <w:r w:rsidR="00963776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re </w:t>
      </w:r>
      <w:r w:rsidR="00D808DA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žiadosti podané v roku</w:t>
      </w:r>
      <w:r w:rsidR="00963776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2015 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pri platbe na ekologické poľnohospodárstvo </w:t>
      </w:r>
      <w:r w:rsidR="00963776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akceptovať údaje v</w:t>
      </w:r>
      <w:r w:rsidR="00681CB3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 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deklarácii</w:t>
      </w:r>
      <w:r w:rsidR="00681CB3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</w:t>
      </w:r>
      <w:r w:rsidR="00963776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do výmery registrovanej v REV.</w:t>
      </w:r>
      <w:r w:rsidR="00165F75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</w:t>
      </w:r>
    </w:p>
    <w:p w:rsidR="00963776" w:rsidRDefault="008E0F2B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8E0F2B">
        <w:rPr>
          <w:rStyle w:val="Siln"/>
          <w:rFonts w:asciiTheme="majorHAnsi" w:hAnsiTheme="majorHAnsi" w:cs="Arial"/>
          <w:sz w:val="20"/>
          <w:szCs w:val="20"/>
          <w:bdr w:val="none" w:sz="0" w:space="0" w:color="auto" w:frame="1"/>
        </w:rPr>
        <w:t>Pre rok 2016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: V jednotných žiadostiach od roku </w:t>
      </w:r>
      <w:r w:rsidR="00165F75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2016 je 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však </w:t>
      </w:r>
      <w:r w:rsidR="00165F75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potrebné, aby žiadatelia uvádzali údaje v deklarácii </w:t>
      </w:r>
      <w:r w:rsidR="00165F7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v súlade s REV, teda rozdelené na jednotlivé parcely s príslušným štatútom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(v konverzii alebo mimo konverzie). Úpravu deklarácie by mal vykonať žiadateľ písomne na príslušnom regionálnom pracovisku PPA v mieste podania svojej žiadosti vo svojom vlastnom záujme čo najskôr, aby sa pre rok 2016 vyhol nezrovnalostiam na REV. V rámci tejto úpravy nemôže dôjsť k navýšeniu výmery ani k inému doplneniu žiadosti.  </w:t>
      </w:r>
      <w:r w:rsidR="00165F75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5D6881" w:rsidRDefault="005D6881" w:rsidP="00165F75">
      <w:pPr>
        <w:pStyle w:val="Normlnywebov"/>
        <w:shd w:val="clear" w:color="auto" w:fill="FFFFFF"/>
        <w:spacing w:before="0" w:beforeAutospacing="0" w:after="0" w:afterAutospacing="0"/>
        <w:ind w:left="510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41529F" w:rsidRPr="00D808DA" w:rsidRDefault="0041529F" w:rsidP="00A40F6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Situácia: 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Žiadateľ má v REV celý DPB registrovaný mimo konverzie a deklaruje ho ako DPB v konverzii (</w:t>
      </w:r>
      <w:r w:rsidR="00963776"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prípadne</w:t>
      </w:r>
      <w:r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naopak)</w:t>
      </w:r>
      <w:r w:rsidR="000F0A31" w:rsidRPr="005411E7">
        <w:rPr>
          <w:rStyle w:val="Siln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.</w:t>
      </w:r>
    </w:p>
    <w:p w:rsidR="00D15EE9" w:rsidRDefault="0041529F" w:rsidP="00A40F67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 w:rsidRPr="00D15EE9">
        <w:rPr>
          <w:rStyle w:val="Siln"/>
          <w:rFonts w:asciiTheme="majorHAnsi" w:hAnsiTheme="majorHAnsi" w:cs="Arial"/>
          <w:b w:val="0"/>
          <w:sz w:val="20"/>
          <w:szCs w:val="20"/>
          <w:u w:val="single"/>
          <w:bdr w:val="none" w:sz="0" w:space="0" w:color="auto" w:frame="1"/>
        </w:rPr>
        <w:lastRenderedPageBreak/>
        <w:t>Stanovisko</w:t>
      </w:r>
      <w:r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:</w:t>
      </w:r>
      <w:r w:rsidR="00F11FC8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</w:t>
      </w:r>
      <w:r w:rsidR="00D15EE9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Odporúčame vyzvať žiadateľa na nápravu zistenej chyby. Žiadateľ zodpovedá za to, čo do žiadosti uvedie.</w:t>
      </w:r>
    </w:p>
    <w:p w:rsidR="00F11FC8" w:rsidRDefault="00D15EE9" w:rsidP="00D15EE9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sz w:val="20"/>
          <w:szCs w:val="20"/>
          <w:u w:val="single"/>
          <w:bdr w:val="none" w:sz="0" w:space="0" w:color="auto" w:frame="1"/>
        </w:rPr>
        <w:t>Postup PPA</w:t>
      </w:r>
      <w:r w:rsidRPr="00D15EE9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: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Vzhľadom na to, že výška podpory je v oboch štatútoch rovnaká, a oprava nemá vplyv na iné súvisiace údaje v žiadosti, PPA pripúšťa opraviť túto chybu ako zrejmú chybu pri vypĺňaní žiadosti. </w:t>
      </w:r>
      <w:r w:rsidR="000F0A31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Ž</w:t>
      </w:r>
      <w:r w:rsidR="00F11FC8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iadateľ </w:t>
      </w:r>
      <w:r w:rsidR="000F0A31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má</w:t>
      </w:r>
      <w:r w:rsidR="00F11FC8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možnosť 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o opravu zrejmej chyby požiadať písomne </w:t>
      </w:r>
      <w:r w:rsidR="000F0A31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príslušn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é</w:t>
      </w:r>
      <w:r w:rsidR="000F0A31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regionáln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e</w:t>
      </w:r>
      <w:r w:rsidR="000F0A31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pracovisk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o</w:t>
      </w:r>
      <w:r w:rsidR="000F0A31" w:rsidRPr="000F0A31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PPA 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v mieste podania svojej žiadosti.</w:t>
      </w:r>
    </w:p>
    <w:p w:rsidR="00D15EE9" w:rsidRDefault="00D15EE9" w:rsidP="00D15EE9">
      <w:pPr>
        <w:pStyle w:val="Normlnywebov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2846A0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PPA odporúča žiadateľom preve</w:t>
      </w:r>
      <w:r w:rsidR="009922CE" w:rsidRPr="002846A0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r</w:t>
      </w:r>
      <w:r w:rsidRPr="002846A0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iť si </w:t>
      </w:r>
      <w:r w:rsidR="00400942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aj </w:t>
      </w:r>
      <w:r w:rsidRPr="002846A0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údaje nahlásené v jednotnej žiadosti na rok 2016 a v prípade zistenia obdobných chýb,</w:t>
      </w:r>
      <w:r w:rsidR="00400942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môže žiadateľ </w:t>
      </w:r>
      <w:r w:rsidRPr="002846A0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vo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svojom vlastnom záujme</w:t>
      </w:r>
      <w:r w:rsidR="009922CE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využi</w:t>
      </w:r>
      <w:r w:rsidR="0040094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ť</w:t>
      </w:r>
      <w:r w:rsidR="009922CE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vyšš</w:t>
      </w:r>
      <w:r w:rsidR="0040094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ie popísaný postup</w:t>
      </w:r>
      <w:r w:rsidR="00400942" w:rsidRPr="0040094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40094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čo najskôr, aby sa pre rok 2016 vyhol nezrovnalostiam na REV.</w:t>
      </w:r>
    </w:p>
    <w:p w:rsidR="00D97644" w:rsidRDefault="00D97644" w:rsidP="00D9764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</w:p>
    <w:p w:rsidR="00D97644" w:rsidRDefault="00D97644" w:rsidP="00D9764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PPA taktiež požiadala MPRV SR o stanovisko k otázke: </w:t>
      </w:r>
      <w:r w:rsidRPr="00D97644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Na úrovni jednotlivých DPB evidujeme veľký počet nezrovnalostí, z čoho je zrejmé, že nie je možné dosiahnuť zhodu dát uvedených v žiadostiach s údajmi REV. Nie je nám zrejmé, či postačuje kontrolov</w:t>
      </w: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ať len výmeru v rámci záväzku. </w:t>
      </w:r>
    </w:p>
    <w:p w:rsidR="00D97644" w:rsidRDefault="00D97644" w:rsidP="00D9764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 w:rsidRPr="00D97644">
        <w:rPr>
          <w:rStyle w:val="Siln"/>
          <w:rFonts w:asciiTheme="majorHAnsi" w:hAnsiTheme="majorHAnsi" w:cs="Arial"/>
          <w:b w:val="0"/>
          <w:sz w:val="20"/>
          <w:szCs w:val="20"/>
          <w:u w:val="single"/>
          <w:bdr w:val="none" w:sz="0" w:space="0" w:color="auto" w:frame="1"/>
        </w:rPr>
        <w:t>Stanovisko:</w:t>
      </w:r>
      <w:r w:rsidRPr="00D97644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   PRV SR 2014 – 2020 určuje v opatrení EP ako podmienku oprávnenosti pre žiadateľa počas celej dĺžky záväzku byť vedený v registri EPV na ÚKSÚP-e. Túto povinnosť mu ukladá aj § 32, písm. a) nariadenia vlády SR č. 75/2015 Z. z. O výmerách pôdy sa v týchto podmienkach nehovorí. V zásade by ale mala žiadosť žiadateľa vychádzať z údajov, ktoré má v oznámení o registrácii, kde sú uvedené DPB a ich výmery. Každú zistenú zmenu by mal žiadateľ nahlasovať na ÚKSÚP v zmysle zákona o EPV. Mala by sa teda uznávať len výmera, ktorú má registrovanú v REV. </w:t>
      </w:r>
    </w:p>
    <w:p w:rsidR="00D97644" w:rsidRDefault="00D97644" w:rsidP="00D9764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</w:p>
    <w:p w:rsidR="00D97644" w:rsidRPr="00D97644" w:rsidRDefault="00D97644" w:rsidP="00D9764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Ďalšou diskutovanou témou bola o</w:t>
      </w:r>
      <w:r w:rsidRPr="00D97644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tázka: Podľa pravidiel pre EP sú záväznými údaje v REV, preto Vás žiadame o usmernenie, do akej miery je v zmysle platnej legislatívy EÚ, PRV SR 2014 – 2020 a NV SR č. 75/2015 Z. z. potrebné tieto detailné údaje na úrovni DPB overovať/zosúladiť/opraviť ako zrejmú chybu (napr. či v prípade nesúladu s REV ide o porušenie podmienok pre ekologické poľnohospodárstvo a je potrebné uplatniť sankciu za nedodržanie podmienok ekologického poľnohospodárstva, alebo sú plochy nad výmeru v REV neoprávnené pre platbu ekologické poľnohospodárstvo a je potrebné uplatniť sankciu za </w:t>
      </w:r>
      <w:proofErr w:type="spellStart"/>
      <w:r w:rsidRPr="00D97644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nadvýmeru</w:t>
      </w:r>
      <w:proofErr w:type="spellEnd"/>
      <w:r w:rsidRPr="00D97644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).</w:t>
      </w:r>
    </w:p>
    <w:p w:rsidR="00D97644" w:rsidRPr="000F0A31" w:rsidRDefault="00D97644" w:rsidP="00D9764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</w:pPr>
      <w:r w:rsidRPr="00D97644">
        <w:rPr>
          <w:rStyle w:val="Siln"/>
          <w:rFonts w:asciiTheme="majorHAnsi" w:hAnsiTheme="majorHAnsi" w:cs="Arial"/>
          <w:b w:val="0"/>
          <w:sz w:val="20"/>
          <w:szCs w:val="20"/>
          <w:u w:val="single"/>
          <w:bdr w:val="none" w:sz="0" w:space="0" w:color="auto" w:frame="1"/>
        </w:rPr>
        <w:t>Usmernenie</w:t>
      </w:r>
      <w:r w:rsidR="00FA607C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 xml:space="preserve">: </w:t>
      </w:r>
      <w:r w:rsidRPr="00D97644">
        <w:rPr>
          <w:rStyle w:val="Siln"/>
          <w:rFonts w:asciiTheme="majorHAnsi" w:hAnsiTheme="majorHAnsi" w:cs="Arial"/>
          <w:b w:val="0"/>
          <w:sz w:val="20"/>
          <w:szCs w:val="20"/>
          <w:bdr w:val="none" w:sz="0" w:space="0" w:color="auto" w:frame="1"/>
        </w:rPr>
        <w:t>za základ berieme údaje v REV. Každý prevádzkovateľ v systéme EPV je povinný v zmysle § 7, písm. b zákona č. 189/2009 Z. z. o ekologickej poľnohospodárskej výrobe oznámiť do 30 dní kontrolnému ústavu každú zmenu týkajúcu sa údajov uvedených v žiadosti o registráciu a v oznámení o registrácii, teda aj zmenu výmery, resp. údajov o DPB. V prípade zisteného nesúladu údajov o DPB s údajmi v REV, tento nesúlad je potrebné zosúladiť/opraviť ako zrejmú chybu. Nejedná sa o porušenie podmienok pre ekologické poľnohospodárstvo a sankcia sa neuplatňuje. Plochy nad výmeru uvedenú v REV je potrebné považovať za neoprávnené pre platbu.</w:t>
      </w:r>
    </w:p>
    <w:p w:rsidR="00B667D9" w:rsidRDefault="00B667D9" w:rsidP="00FD04D6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FF0000"/>
          <w:sz w:val="20"/>
          <w:szCs w:val="20"/>
          <w:bdr w:val="none" w:sz="0" w:space="0" w:color="auto" w:frame="1"/>
        </w:rPr>
      </w:pPr>
    </w:p>
    <w:p w:rsidR="00486F57" w:rsidRDefault="00B667D9" w:rsidP="00486F57">
      <w:pPr>
        <w:pStyle w:val="Normlnywebov"/>
        <w:shd w:val="clear" w:color="auto" w:fill="FFFFFF"/>
        <w:spacing w:before="120" w:beforeAutospacing="0" w:after="0" w:afterAutospacing="0"/>
        <w:jc w:val="both"/>
        <w:textAlignment w:val="baseline"/>
        <w:rPr>
          <w:rFonts w:ascii="Calibri Light" w:hAnsi="Calibri Light"/>
          <w:sz w:val="20"/>
          <w:szCs w:val="20"/>
        </w:rPr>
      </w:pPr>
      <w:r w:rsidRPr="00FD04D6">
        <w:rPr>
          <w:rFonts w:ascii="Calibri Light" w:hAnsi="Calibri Light"/>
          <w:sz w:val="20"/>
          <w:szCs w:val="20"/>
        </w:rPr>
        <w:t xml:space="preserve">Zároveň podľa usmernenia </w:t>
      </w:r>
      <w:r w:rsidR="00FD04D6">
        <w:rPr>
          <w:rFonts w:ascii="Calibri Light" w:hAnsi="Calibri Light"/>
          <w:sz w:val="20"/>
          <w:szCs w:val="20"/>
        </w:rPr>
        <w:t>MPRV SR</w:t>
      </w:r>
      <w:r w:rsidRPr="00FD04D6">
        <w:rPr>
          <w:rFonts w:ascii="Calibri Light" w:hAnsi="Calibri Light"/>
          <w:sz w:val="20"/>
          <w:szCs w:val="20"/>
        </w:rPr>
        <w:t xml:space="preserve"> ohľadne prechodu EPV z konverzie do EPV mimo konverzie je potrebné brať do úvahy dátum </w:t>
      </w:r>
      <w:r w:rsidR="00857C1D">
        <w:rPr>
          <w:rFonts w:ascii="Calibri Light" w:hAnsi="Calibri Light"/>
          <w:b/>
          <w:sz w:val="20"/>
          <w:szCs w:val="20"/>
        </w:rPr>
        <w:t>30.6. príslušného roka</w:t>
      </w:r>
      <w:r w:rsidR="00FD04D6">
        <w:rPr>
          <w:rFonts w:ascii="Calibri Light" w:hAnsi="Calibri Light"/>
          <w:sz w:val="20"/>
          <w:szCs w:val="20"/>
        </w:rPr>
        <w:t>,</w:t>
      </w:r>
      <w:r w:rsidR="009E1F50" w:rsidRPr="00FD04D6">
        <w:rPr>
          <w:rFonts w:ascii="Calibri Light" w:hAnsi="Calibri Light"/>
          <w:sz w:val="20"/>
          <w:szCs w:val="20"/>
        </w:rPr>
        <w:t xml:space="preserve"> </w:t>
      </w:r>
      <w:r w:rsidR="00FD04D6">
        <w:rPr>
          <w:rFonts w:ascii="Calibri Light" w:hAnsi="Calibri Light"/>
          <w:sz w:val="20"/>
          <w:szCs w:val="20"/>
        </w:rPr>
        <w:t>podľa ktorého sa určuje</w:t>
      </w:r>
      <w:r w:rsidR="00B20EDE" w:rsidRPr="00FD04D6">
        <w:rPr>
          <w:rFonts w:ascii="Calibri Light" w:hAnsi="Calibri Light"/>
          <w:sz w:val="20"/>
          <w:szCs w:val="20"/>
        </w:rPr>
        <w:t xml:space="preserve"> prevažujúc</w:t>
      </w:r>
      <w:r w:rsidR="00FD04D6">
        <w:rPr>
          <w:rFonts w:ascii="Calibri Light" w:hAnsi="Calibri Light"/>
          <w:sz w:val="20"/>
          <w:szCs w:val="20"/>
        </w:rPr>
        <w:t>a</w:t>
      </w:r>
      <w:r w:rsidR="00B20EDE" w:rsidRPr="00FD04D6">
        <w:rPr>
          <w:rFonts w:ascii="Calibri Light" w:hAnsi="Calibri Light"/>
          <w:sz w:val="20"/>
          <w:szCs w:val="20"/>
        </w:rPr>
        <w:t xml:space="preserve"> časť roka</w:t>
      </w:r>
      <w:r w:rsidR="00FD04D6">
        <w:rPr>
          <w:rFonts w:ascii="Calibri Light" w:hAnsi="Calibri Light"/>
          <w:sz w:val="20"/>
          <w:szCs w:val="20"/>
        </w:rPr>
        <w:t>,</w:t>
      </w:r>
      <w:r w:rsidR="00B20EDE" w:rsidRPr="00FD04D6">
        <w:rPr>
          <w:rFonts w:ascii="Calibri Light" w:hAnsi="Calibri Light"/>
          <w:sz w:val="20"/>
          <w:szCs w:val="20"/>
        </w:rPr>
        <w:t xml:space="preserve"> </w:t>
      </w:r>
      <w:r w:rsidR="009E1F50" w:rsidRPr="00FD04D6">
        <w:rPr>
          <w:rFonts w:ascii="Calibri Light" w:hAnsi="Calibri Light"/>
          <w:sz w:val="20"/>
          <w:szCs w:val="20"/>
        </w:rPr>
        <w:t xml:space="preserve">t. j. </w:t>
      </w:r>
      <w:r w:rsidR="00B20EDE" w:rsidRPr="00FD04D6">
        <w:rPr>
          <w:rFonts w:ascii="Calibri Light" w:hAnsi="Calibri Light"/>
          <w:sz w:val="20"/>
          <w:szCs w:val="20"/>
        </w:rPr>
        <w:t xml:space="preserve">či bol </w:t>
      </w:r>
      <w:r w:rsidR="00FD04D6">
        <w:rPr>
          <w:rFonts w:ascii="Calibri Light" w:hAnsi="Calibri Light"/>
          <w:sz w:val="20"/>
          <w:szCs w:val="20"/>
        </w:rPr>
        <w:t>ž</w:t>
      </w:r>
      <w:r w:rsidR="00C82BC7">
        <w:rPr>
          <w:rFonts w:ascii="Calibri Light" w:hAnsi="Calibri Light"/>
          <w:sz w:val="20"/>
          <w:szCs w:val="20"/>
        </w:rPr>
        <w:t>i</w:t>
      </w:r>
      <w:r w:rsidR="00FD04D6">
        <w:rPr>
          <w:rFonts w:ascii="Calibri Light" w:hAnsi="Calibri Light"/>
          <w:sz w:val="20"/>
          <w:szCs w:val="20"/>
        </w:rPr>
        <w:t>adateľ</w:t>
      </w:r>
      <w:r w:rsidR="00B20EDE" w:rsidRPr="00FD04D6">
        <w:rPr>
          <w:rFonts w:ascii="Calibri Light" w:hAnsi="Calibri Light"/>
          <w:sz w:val="20"/>
          <w:szCs w:val="20"/>
        </w:rPr>
        <w:t xml:space="preserve"> prevažujúcu časť roka v</w:t>
      </w:r>
      <w:r w:rsidR="00FD04D6">
        <w:rPr>
          <w:rFonts w:ascii="Calibri Light" w:hAnsi="Calibri Light"/>
          <w:sz w:val="20"/>
          <w:szCs w:val="20"/>
        </w:rPr>
        <w:t> </w:t>
      </w:r>
      <w:r w:rsidR="00B20EDE" w:rsidRPr="00FD04D6">
        <w:rPr>
          <w:rFonts w:ascii="Calibri Light" w:hAnsi="Calibri Light"/>
          <w:sz w:val="20"/>
          <w:szCs w:val="20"/>
        </w:rPr>
        <w:t>konverzi</w:t>
      </w:r>
      <w:r w:rsidR="00FD04D6">
        <w:rPr>
          <w:rFonts w:ascii="Calibri Light" w:hAnsi="Calibri Light"/>
          <w:sz w:val="20"/>
          <w:szCs w:val="20"/>
        </w:rPr>
        <w:t xml:space="preserve">i alebo </w:t>
      </w:r>
      <w:r w:rsidR="00B20EDE" w:rsidRPr="00FD04D6">
        <w:rPr>
          <w:rFonts w:ascii="Calibri Light" w:hAnsi="Calibri Light"/>
          <w:sz w:val="20"/>
          <w:szCs w:val="20"/>
        </w:rPr>
        <w:t>mimo konverzie</w:t>
      </w:r>
      <w:r w:rsidRPr="00FD04D6">
        <w:rPr>
          <w:rFonts w:ascii="Calibri Light" w:hAnsi="Calibri Light"/>
          <w:sz w:val="20"/>
          <w:szCs w:val="20"/>
        </w:rPr>
        <w:t xml:space="preserve">. </w:t>
      </w:r>
      <w:r w:rsidR="00B20EDE" w:rsidRPr="00FD04D6">
        <w:rPr>
          <w:rFonts w:ascii="Calibri Light" w:hAnsi="Calibri Light"/>
          <w:sz w:val="20"/>
          <w:szCs w:val="20"/>
        </w:rPr>
        <w:t>Pre upresnenie uvádzame nasledujúce príklady:</w:t>
      </w:r>
      <w:r w:rsidRPr="00FD04D6">
        <w:rPr>
          <w:rFonts w:ascii="Calibri Light" w:hAnsi="Calibri Light"/>
          <w:sz w:val="20"/>
          <w:szCs w:val="20"/>
        </w:rPr>
        <w:br/>
        <w:t xml:space="preserve">  </w:t>
      </w:r>
      <w:r w:rsidRPr="00FD04D6">
        <w:rPr>
          <w:rFonts w:ascii="Calibri Light" w:hAnsi="Calibri Light"/>
          <w:sz w:val="20"/>
          <w:szCs w:val="20"/>
        </w:rPr>
        <w:br/>
        <w:t xml:space="preserve">1. </w:t>
      </w:r>
      <w:r w:rsidR="00FD04D6">
        <w:rPr>
          <w:rFonts w:ascii="Calibri Light" w:hAnsi="Calibri Light"/>
          <w:sz w:val="20"/>
          <w:szCs w:val="20"/>
        </w:rPr>
        <w:t>žiadateľovi</w:t>
      </w:r>
      <w:r w:rsidRPr="00FD04D6">
        <w:rPr>
          <w:rFonts w:ascii="Calibri Light" w:hAnsi="Calibri Light"/>
          <w:sz w:val="20"/>
          <w:szCs w:val="20"/>
        </w:rPr>
        <w:t xml:space="preserve"> konverzia</w:t>
      </w:r>
      <w:r w:rsidR="00B20EDE" w:rsidRPr="00FD04D6">
        <w:rPr>
          <w:rFonts w:ascii="Calibri Light" w:hAnsi="Calibri Light"/>
          <w:sz w:val="20"/>
          <w:szCs w:val="20"/>
        </w:rPr>
        <w:t xml:space="preserve"> v roku 2014 -</w:t>
      </w:r>
      <w:r w:rsidRPr="00FD04D6">
        <w:rPr>
          <w:rFonts w:ascii="Calibri Light" w:hAnsi="Calibri Light"/>
          <w:sz w:val="20"/>
          <w:szCs w:val="20"/>
        </w:rPr>
        <w:t xml:space="preserve"> rok 2015</w:t>
      </w:r>
      <w:r w:rsidR="00B20EDE" w:rsidRPr="00FD04D6">
        <w:rPr>
          <w:rFonts w:ascii="Calibri Light" w:hAnsi="Calibri Light"/>
          <w:sz w:val="20"/>
          <w:szCs w:val="20"/>
        </w:rPr>
        <w:t xml:space="preserve"> je už obdobie po</w:t>
      </w:r>
      <w:r w:rsidR="00486F57">
        <w:rPr>
          <w:rFonts w:ascii="Calibri Light" w:hAnsi="Calibri Light"/>
          <w:sz w:val="20"/>
          <w:szCs w:val="20"/>
        </w:rPr>
        <w:t xml:space="preserve"> konverzii</w:t>
      </w:r>
    </w:p>
    <w:p w:rsidR="00486F57" w:rsidRDefault="00B20EDE" w:rsidP="00486F57">
      <w:pPr>
        <w:pStyle w:val="Normlnywebov"/>
        <w:shd w:val="clear" w:color="auto" w:fill="FFFFFF"/>
        <w:spacing w:before="120" w:beforeAutospacing="0" w:after="0" w:afterAutospacing="0"/>
        <w:jc w:val="both"/>
        <w:textAlignment w:val="baseline"/>
        <w:rPr>
          <w:rFonts w:ascii="Calibri Light" w:hAnsi="Calibri Light"/>
          <w:sz w:val="20"/>
          <w:szCs w:val="20"/>
        </w:rPr>
      </w:pPr>
      <w:r w:rsidRPr="00FD04D6">
        <w:rPr>
          <w:rFonts w:ascii="Calibri Light" w:hAnsi="Calibri Light"/>
          <w:sz w:val="20"/>
          <w:szCs w:val="20"/>
        </w:rPr>
        <w:t>2</w:t>
      </w:r>
      <w:r w:rsidR="00B667D9" w:rsidRPr="00FD04D6">
        <w:rPr>
          <w:rFonts w:ascii="Calibri Light" w:hAnsi="Calibri Light"/>
          <w:sz w:val="20"/>
          <w:szCs w:val="20"/>
        </w:rPr>
        <w:t xml:space="preserve">. </w:t>
      </w:r>
      <w:r w:rsidR="00FD04D6">
        <w:rPr>
          <w:rFonts w:ascii="Calibri Light" w:hAnsi="Calibri Light"/>
          <w:sz w:val="20"/>
          <w:szCs w:val="20"/>
        </w:rPr>
        <w:t>žiadateľovi</w:t>
      </w:r>
      <w:r w:rsidR="00FD04D6" w:rsidRPr="00FD04D6">
        <w:rPr>
          <w:rFonts w:ascii="Calibri Light" w:hAnsi="Calibri Light"/>
          <w:sz w:val="20"/>
          <w:szCs w:val="20"/>
        </w:rPr>
        <w:t xml:space="preserve"> </w:t>
      </w:r>
      <w:r w:rsidRPr="00FD04D6">
        <w:rPr>
          <w:rFonts w:ascii="Calibri Light" w:hAnsi="Calibri Light"/>
          <w:sz w:val="20"/>
          <w:szCs w:val="20"/>
        </w:rPr>
        <w:t xml:space="preserve">skončila konverzia 1.2.2015 - rok </w:t>
      </w:r>
      <w:r w:rsidR="00486F57">
        <w:rPr>
          <w:rFonts w:ascii="Calibri Light" w:hAnsi="Calibri Light"/>
          <w:sz w:val="20"/>
          <w:szCs w:val="20"/>
        </w:rPr>
        <w:t>2015 je už obdobie po konverzii</w:t>
      </w:r>
    </w:p>
    <w:p w:rsidR="00486F57" w:rsidRDefault="00B20EDE" w:rsidP="00486F57">
      <w:pPr>
        <w:pStyle w:val="Normlnywebov"/>
        <w:shd w:val="clear" w:color="auto" w:fill="FFFFFF"/>
        <w:spacing w:before="120" w:beforeAutospacing="0" w:after="0" w:afterAutospacing="0"/>
        <w:jc w:val="both"/>
        <w:textAlignment w:val="baseline"/>
        <w:rPr>
          <w:rFonts w:ascii="Calibri Light" w:hAnsi="Calibri Light"/>
          <w:sz w:val="20"/>
          <w:szCs w:val="20"/>
        </w:rPr>
      </w:pPr>
      <w:r w:rsidRPr="00FD04D6">
        <w:rPr>
          <w:rFonts w:ascii="Calibri Light" w:hAnsi="Calibri Light"/>
          <w:sz w:val="20"/>
          <w:szCs w:val="20"/>
        </w:rPr>
        <w:t>3</w:t>
      </w:r>
      <w:r w:rsidR="00B667D9" w:rsidRPr="00FD04D6">
        <w:rPr>
          <w:rFonts w:ascii="Calibri Light" w:hAnsi="Calibri Light"/>
          <w:sz w:val="20"/>
          <w:szCs w:val="20"/>
        </w:rPr>
        <w:t xml:space="preserve">. </w:t>
      </w:r>
      <w:r w:rsidR="00FD04D6">
        <w:rPr>
          <w:rFonts w:ascii="Calibri Light" w:hAnsi="Calibri Light"/>
          <w:sz w:val="20"/>
          <w:szCs w:val="20"/>
        </w:rPr>
        <w:t>žiadateľovi</w:t>
      </w:r>
      <w:r w:rsidR="00FD04D6" w:rsidRPr="00FD04D6">
        <w:rPr>
          <w:rFonts w:ascii="Calibri Light" w:hAnsi="Calibri Light"/>
          <w:sz w:val="20"/>
          <w:szCs w:val="20"/>
        </w:rPr>
        <w:t xml:space="preserve"> </w:t>
      </w:r>
      <w:r w:rsidR="00B667D9" w:rsidRPr="00FD04D6">
        <w:rPr>
          <w:rFonts w:ascii="Calibri Light" w:hAnsi="Calibri Light"/>
          <w:sz w:val="20"/>
          <w:szCs w:val="20"/>
        </w:rPr>
        <w:t>s</w:t>
      </w:r>
      <w:r w:rsidRPr="00FD04D6">
        <w:rPr>
          <w:rFonts w:ascii="Calibri Light" w:hAnsi="Calibri Light"/>
          <w:sz w:val="20"/>
          <w:szCs w:val="20"/>
        </w:rPr>
        <w:t xml:space="preserve">končila konverzia 15.10.2015 - </w:t>
      </w:r>
      <w:r w:rsidR="00B667D9" w:rsidRPr="00FD04D6">
        <w:rPr>
          <w:rFonts w:ascii="Calibri Light" w:hAnsi="Calibri Light"/>
          <w:sz w:val="20"/>
          <w:szCs w:val="20"/>
        </w:rPr>
        <w:t xml:space="preserve"> rok 2015</w:t>
      </w:r>
      <w:r w:rsidRPr="00FD04D6">
        <w:rPr>
          <w:rFonts w:ascii="Calibri Light" w:hAnsi="Calibri Light"/>
          <w:sz w:val="20"/>
          <w:szCs w:val="20"/>
        </w:rPr>
        <w:t xml:space="preserve"> je</w:t>
      </w:r>
      <w:r w:rsidR="00B667D9" w:rsidRPr="00FD04D6">
        <w:rPr>
          <w:rFonts w:ascii="Calibri Light" w:hAnsi="Calibri Light"/>
          <w:sz w:val="20"/>
          <w:szCs w:val="20"/>
        </w:rPr>
        <w:t xml:space="preserve"> obdobie  v konverzii  (najneskôr do 30. novembr</w:t>
      </w:r>
      <w:r w:rsidR="00486F57">
        <w:rPr>
          <w:rFonts w:ascii="Calibri Light" w:hAnsi="Calibri Light"/>
          <w:sz w:val="20"/>
          <w:szCs w:val="20"/>
        </w:rPr>
        <w:t>a) a rok 2016 po konverzii</w:t>
      </w:r>
      <w:r w:rsidR="00B667D9" w:rsidRPr="00FD04D6">
        <w:rPr>
          <w:rFonts w:ascii="Calibri Light" w:hAnsi="Calibri Light"/>
          <w:sz w:val="20"/>
          <w:szCs w:val="20"/>
        </w:rPr>
        <w:t xml:space="preserve"> </w:t>
      </w:r>
    </w:p>
    <w:p w:rsidR="00BC5818" w:rsidRPr="00FD04D6" w:rsidRDefault="00B20EDE" w:rsidP="00486F57">
      <w:pPr>
        <w:pStyle w:val="Normlnywebov"/>
        <w:shd w:val="clear" w:color="auto" w:fill="FFFFFF"/>
        <w:spacing w:before="120" w:beforeAutospacing="0" w:after="0" w:afterAutospacing="0"/>
        <w:jc w:val="both"/>
        <w:textAlignment w:val="baseline"/>
        <w:rPr>
          <w:rFonts w:ascii="Calibri Light" w:hAnsi="Calibri Light"/>
          <w:sz w:val="20"/>
          <w:szCs w:val="20"/>
        </w:rPr>
      </w:pPr>
      <w:r w:rsidRPr="00FD04D6">
        <w:rPr>
          <w:rFonts w:ascii="Calibri Light" w:hAnsi="Calibri Light"/>
          <w:sz w:val="20"/>
          <w:szCs w:val="20"/>
        </w:rPr>
        <w:t>4</w:t>
      </w:r>
      <w:r w:rsidR="009E1F50" w:rsidRPr="00FD04D6">
        <w:rPr>
          <w:rFonts w:ascii="Calibri Light" w:hAnsi="Calibri Light"/>
          <w:sz w:val="20"/>
          <w:szCs w:val="20"/>
        </w:rPr>
        <w:t xml:space="preserve">. </w:t>
      </w:r>
      <w:r w:rsidR="00FD04D6">
        <w:rPr>
          <w:rFonts w:ascii="Calibri Light" w:hAnsi="Calibri Light"/>
          <w:sz w:val="20"/>
          <w:szCs w:val="20"/>
        </w:rPr>
        <w:t>žiadateľovi</w:t>
      </w:r>
      <w:r w:rsidR="00FD04D6" w:rsidRPr="00FD04D6">
        <w:rPr>
          <w:rFonts w:ascii="Calibri Light" w:hAnsi="Calibri Light"/>
          <w:sz w:val="20"/>
          <w:szCs w:val="20"/>
        </w:rPr>
        <w:t xml:space="preserve"> </w:t>
      </w:r>
      <w:r w:rsidR="009E1F50" w:rsidRPr="00FD04D6">
        <w:rPr>
          <w:rFonts w:ascii="Calibri Light" w:hAnsi="Calibri Light"/>
          <w:sz w:val="20"/>
          <w:szCs w:val="20"/>
        </w:rPr>
        <w:t xml:space="preserve">vstúpil do EPV mimo konverzie 30.6.2015 </w:t>
      </w:r>
      <w:r w:rsidR="00BC5818" w:rsidRPr="00FD04D6">
        <w:rPr>
          <w:rFonts w:ascii="Calibri Light" w:hAnsi="Calibri Light"/>
          <w:sz w:val="20"/>
          <w:szCs w:val="20"/>
        </w:rPr>
        <w:t>-</w:t>
      </w:r>
      <w:r w:rsidR="009E1F50" w:rsidRPr="00FD04D6">
        <w:rPr>
          <w:rFonts w:ascii="Calibri Light" w:hAnsi="Calibri Light"/>
          <w:sz w:val="20"/>
          <w:szCs w:val="20"/>
        </w:rPr>
        <w:t xml:space="preserve"> rok 2015 je obdobie </w:t>
      </w:r>
      <w:r w:rsidR="00BC5818" w:rsidRPr="00FD04D6">
        <w:rPr>
          <w:rFonts w:ascii="Calibri Light" w:hAnsi="Calibri Light"/>
          <w:sz w:val="20"/>
          <w:szCs w:val="20"/>
        </w:rPr>
        <w:t>po </w:t>
      </w:r>
      <w:r w:rsidR="00FD04D6">
        <w:rPr>
          <w:rFonts w:ascii="Calibri Light" w:hAnsi="Calibri Light"/>
          <w:sz w:val="20"/>
          <w:szCs w:val="20"/>
        </w:rPr>
        <w:t>konverzii</w:t>
      </w:r>
    </w:p>
    <w:p w:rsidR="00BC5818" w:rsidRPr="00FD04D6" w:rsidRDefault="00BC5818" w:rsidP="00486F57">
      <w:pPr>
        <w:pStyle w:val="Normlnywebov"/>
        <w:shd w:val="clear" w:color="auto" w:fill="FFFFFF"/>
        <w:spacing w:before="120" w:beforeAutospacing="0" w:after="0" w:afterAutospacing="0"/>
        <w:textAlignment w:val="baseline"/>
        <w:rPr>
          <w:rFonts w:ascii="Calibri Light" w:hAnsi="Calibri Light"/>
          <w:sz w:val="20"/>
          <w:szCs w:val="20"/>
        </w:rPr>
      </w:pPr>
      <w:r w:rsidRPr="00FD04D6">
        <w:rPr>
          <w:rFonts w:ascii="Calibri Light" w:hAnsi="Calibri Light"/>
          <w:sz w:val="20"/>
          <w:szCs w:val="20"/>
        </w:rPr>
        <w:t xml:space="preserve">5. </w:t>
      </w:r>
      <w:r w:rsidR="00FD04D6">
        <w:rPr>
          <w:rFonts w:ascii="Calibri Light" w:hAnsi="Calibri Light"/>
          <w:sz w:val="20"/>
          <w:szCs w:val="20"/>
        </w:rPr>
        <w:t>žiadateľovi</w:t>
      </w:r>
      <w:r w:rsidR="00FD04D6" w:rsidRPr="00FD04D6">
        <w:rPr>
          <w:rFonts w:ascii="Calibri Light" w:hAnsi="Calibri Light"/>
          <w:sz w:val="20"/>
          <w:szCs w:val="20"/>
        </w:rPr>
        <w:t xml:space="preserve"> </w:t>
      </w:r>
      <w:r w:rsidRPr="00FD04D6">
        <w:rPr>
          <w:rFonts w:ascii="Calibri Light" w:hAnsi="Calibri Light"/>
          <w:sz w:val="20"/>
          <w:szCs w:val="20"/>
        </w:rPr>
        <w:t>vstúpil do EPV mimo konverzie 01.07.2015 - rok 2015 je obdobie v konverzi</w:t>
      </w:r>
      <w:r w:rsidR="00FD04D6">
        <w:rPr>
          <w:rFonts w:ascii="Calibri Light" w:hAnsi="Calibri Light"/>
          <w:sz w:val="20"/>
          <w:szCs w:val="20"/>
        </w:rPr>
        <w:t>i</w:t>
      </w:r>
      <w:r w:rsidRPr="00FD04D6">
        <w:rPr>
          <w:rFonts w:ascii="Calibri Light" w:hAnsi="Calibri Light"/>
          <w:sz w:val="20"/>
          <w:szCs w:val="20"/>
        </w:rPr>
        <w:t>.</w:t>
      </w:r>
    </w:p>
    <w:p w:rsidR="009E1F50" w:rsidRPr="00FD04D6" w:rsidRDefault="009E1F50" w:rsidP="00B667D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Calibri Light" w:hAnsi="Calibri Light" w:cs="Arial"/>
          <w:b w:val="0"/>
          <w:sz w:val="20"/>
          <w:szCs w:val="20"/>
          <w:bdr w:val="none" w:sz="0" w:space="0" w:color="auto" w:frame="1"/>
        </w:rPr>
      </w:pPr>
    </w:p>
    <w:p w:rsidR="00353DA2" w:rsidRDefault="00B23113" w:rsidP="00963776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Na základe stanoviska MPRV SR k predloženým otázkam PPA ohľadne problémov s identifikáciou plôch na REV musela PPA </w:t>
      </w:r>
      <w:r w:rsidR="00353DA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pristúpiť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dodatočne</w:t>
      </w:r>
      <w:r w:rsidR="00353DA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k príslušným úpravám 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Integrovaného administratívneho a kontrolného </w:t>
      </w:r>
      <w:r w:rsidR="006705C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systém</w:t>
      </w:r>
      <w:r w:rsidR="00C07409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u</w:t>
      </w:r>
      <w:r w:rsidR="00353DA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, </w:t>
      </w:r>
      <w:r w:rsidR="006705C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v dôsledku čoho došlo k predĺženiu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procesu</w:t>
      </w:r>
      <w:r w:rsidR="00353DA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administrácie </w:t>
      </w:r>
      <w:r w:rsidR="006705C3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dotknutých </w:t>
      </w:r>
      <w:r w:rsidR="00353DA2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žiadostí </w:t>
      </w:r>
      <w:r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o platbu na ekologické poľnohospodárstvo.</w:t>
      </w:r>
      <w:r w:rsidR="00FD04D6"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6705C3" w:rsidRDefault="006705C3" w:rsidP="00963776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sectPr w:rsidR="0067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89A"/>
    <w:multiLevelType w:val="hybridMultilevel"/>
    <w:tmpl w:val="F76A4A6A"/>
    <w:lvl w:ilvl="0" w:tplc="CD7A68B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B7C47E7"/>
    <w:multiLevelType w:val="hybridMultilevel"/>
    <w:tmpl w:val="DA823582"/>
    <w:lvl w:ilvl="0" w:tplc="25BE438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A8F11D7"/>
    <w:multiLevelType w:val="hybridMultilevel"/>
    <w:tmpl w:val="DF4E63D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A"/>
    <w:rsid w:val="000A6514"/>
    <w:rsid w:val="000F0A31"/>
    <w:rsid w:val="00106D0A"/>
    <w:rsid w:val="00165F75"/>
    <w:rsid w:val="00187610"/>
    <w:rsid w:val="002846A0"/>
    <w:rsid w:val="003213DE"/>
    <w:rsid w:val="00353DA2"/>
    <w:rsid w:val="00400942"/>
    <w:rsid w:val="0041529F"/>
    <w:rsid w:val="00486F57"/>
    <w:rsid w:val="00493FF6"/>
    <w:rsid w:val="004A1772"/>
    <w:rsid w:val="004C5211"/>
    <w:rsid w:val="004F4194"/>
    <w:rsid w:val="005411E7"/>
    <w:rsid w:val="00545125"/>
    <w:rsid w:val="005D6881"/>
    <w:rsid w:val="005F7115"/>
    <w:rsid w:val="006705C3"/>
    <w:rsid w:val="00681CB3"/>
    <w:rsid w:val="006A7990"/>
    <w:rsid w:val="006A7D16"/>
    <w:rsid w:val="007F34DF"/>
    <w:rsid w:val="00857C1D"/>
    <w:rsid w:val="008E0F2B"/>
    <w:rsid w:val="00925800"/>
    <w:rsid w:val="00963776"/>
    <w:rsid w:val="009922CE"/>
    <w:rsid w:val="009A5C65"/>
    <w:rsid w:val="009C3088"/>
    <w:rsid w:val="009E1F50"/>
    <w:rsid w:val="00A40F67"/>
    <w:rsid w:val="00A5412A"/>
    <w:rsid w:val="00A56AAF"/>
    <w:rsid w:val="00AB3044"/>
    <w:rsid w:val="00AC060A"/>
    <w:rsid w:val="00B13F39"/>
    <w:rsid w:val="00B20EDE"/>
    <w:rsid w:val="00B23113"/>
    <w:rsid w:val="00B667D9"/>
    <w:rsid w:val="00BC5818"/>
    <w:rsid w:val="00C07409"/>
    <w:rsid w:val="00C82BC7"/>
    <w:rsid w:val="00D15EE9"/>
    <w:rsid w:val="00D35639"/>
    <w:rsid w:val="00D808DA"/>
    <w:rsid w:val="00D97644"/>
    <w:rsid w:val="00DA13F3"/>
    <w:rsid w:val="00E063BC"/>
    <w:rsid w:val="00F11FC8"/>
    <w:rsid w:val="00FA607C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D8C0-AE83-4D19-BF2F-D9C01C5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06D0A"/>
  </w:style>
  <w:style w:type="character" w:styleId="Siln">
    <w:name w:val="Strong"/>
    <w:basedOn w:val="Predvolenpsmoodseku"/>
    <w:uiPriority w:val="22"/>
    <w:qFormat/>
    <w:rsid w:val="00106D0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06D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Ošust Michal</dc:creator>
  <cp:keywords/>
  <dc:description/>
  <cp:lastModifiedBy>Zemaníková Mária</cp:lastModifiedBy>
  <cp:revision>6</cp:revision>
  <cp:lastPrinted>2016-05-12T13:17:00Z</cp:lastPrinted>
  <dcterms:created xsi:type="dcterms:W3CDTF">2016-06-01T11:39:00Z</dcterms:created>
  <dcterms:modified xsi:type="dcterms:W3CDTF">2016-06-02T05:50:00Z</dcterms:modified>
</cp:coreProperties>
</file>