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28A5" w14:textId="77777777" w:rsidR="009E0098" w:rsidRPr="005C4BFE" w:rsidRDefault="009E0098" w:rsidP="009E0098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5C4BFE">
        <w:rPr>
          <w:b/>
          <w:color w:val="002776" w:themeColor="text2"/>
          <w:sz w:val="24"/>
          <w:szCs w:val="16"/>
          <w:lang w:val="sk-SK"/>
        </w:rPr>
        <w:t>Podmienky oprávnenosti výdavkov</w:t>
      </w:r>
    </w:p>
    <w:p w14:paraId="6935079B" w14:textId="77777777" w:rsidR="001B75B2" w:rsidRDefault="001B75B2" w:rsidP="006F71E5">
      <w:pPr>
        <w:rPr>
          <w:b/>
          <w:sz w:val="24"/>
          <w:szCs w:val="16"/>
          <w:lang w:val="sk-SK"/>
        </w:rPr>
      </w:pPr>
    </w:p>
    <w:tbl>
      <w:tblPr>
        <w:tblStyle w:val="Mriekatabuky"/>
        <w:tblW w:w="980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17"/>
        <w:gridCol w:w="3402"/>
        <w:gridCol w:w="4111"/>
      </w:tblGrid>
      <w:tr w:rsidR="00034306" w:rsidRPr="001B75B2" w14:paraId="375B78EE" w14:textId="77777777" w:rsidTr="0034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4F81BD"/>
          </w:tcPr>
          <w:p w14:paraId="7D05A842" w14:textId="2C2F9354" w:rsidR="00034306" w:rsidRPr="00034306" w:rsidRDefault="00034306" w:rsidP="002F3983">
            <w:pPr>
              <w:tabs>
                <w:tab w:val="left" w:pos="960"/>
              </w:tabs>
              <w:jc w:val="center"/>
              <w:rPr>
                <w:color w:val="FFFFFF" w:themeColor="background1"/>
                <w:sz w:val="18"/>
                <w:szCs w:val="18"/>
                <w:lang w:val="sk-SK"/>
              </w:rPr>
            </w:pPr>
            <w:r>
              <w:rPr>
                <w:color w:val="FFFFFF" w:themeColor="background1"/>
                <w:sz w:val="18"/>
                <w:szCs w:val="18"/>
                <w:lang w:val="sk-SK"/>
              </w:rPr>
              <w:t>Trieda</w:t>
            </w:r>
          </w:p>
        </w:tc>
        <w:tc>
          <w:tcPr>
            <w:tcW w:w="1417" w:type="dxa"/>
            <w:shd w:val="clear" w:color="auto" w:fill="4F81BD"/>
          </w:tcPr>
          <w:p w14:paraId="37ED2EAA" w14:textId="56D3237F" w:rsidR="00034306" w:rsidRPr="00034306" w:rsidRDefault="00034306" w:rsidP="002F3983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sk-SK"/>
              </w:rPr>
            </w:pPr>
            <w:r w:rsidRPr="00034306">
              <w:rPr>
                <w:color w:val="FFFFFF" w:themeColor="background1"/>
                <w:sz w:val="18"/>
                <w:szCs w:val="18"/>
                <w:lang w:val="sk-SK"/>
              </w:rPr>
              <w:t>Skupina</w:t>
            </w:r>
          </w:p>
        </w:tc>
        <w:tc>
          <w:tcPr>
            <w:tcW w:w="3402" w:type="dxa"/>
            <w:shd w:val="clear" w:color="auto" w:fill="4F81BD"/>
          </w:tcPr>
          <w:p w14:paraId="2124052E" w14:textId="13958464" w:rsidR="00034306" w:rsidRPr="00034306" w:rsidRDefault="00034306" w:rsidP="002F3983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sk-SK"/>
              </w:rPr>
            </w:pPr>
            <w:r w:rsidRPr="00034306">
              <w:rPr>
                <w:color w:val="FFFFFF" w:themeColor="background1"/>
                <w:sz w:val="18"/>
                <w:szCs w:val="18"/>
                <w:lang w:val="sk-SK"/>
              </w:rPr>
              <w:t>Oprávnené výdavky</w:t>
            </w:r>
          </w:p>
        </w:tc>
        <w:tc>
          <w:tcPr>
            <w:tcW w:w="4111" w:type="dxa"/>
            <w:shd w:val="clear" w:color="auto" w:fill="4F81BD"/>
          </w:tcPr>
          <w:p w14:paraId="78A6F03E" w14:textId="40313334" w:rsidR="00034306" w:rsidRPr="00034306" w:rsidRDefault="00691313" w:rsidP="00691313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  <w:lang w:val="sk-SK"/>
              </w:rPr>
            </w:pPr>
            <w:r>
              <w:rPr>
                <w:color w:val="FFFFFF" w:themeColor="background1"/>
                <w:sz w:val="18"/>
                <w:szCs w:val="18"/>
                <w:lang w:val="sk-SK"/>
              </w:rPr>
              <w:t>L</w:t>
            </w:r>
            <w:r w:rsidR="00034306" w:rsidRPr="00034306">
              <w:rPr>
                <w:color w:val="FFFFFF" w:themeColor="background1"/>
                <w:sz w:val="18"/>
                <w:szCs w:val="18"/>
                <w:lang w:val="sk-SK"/>
              </w:rPr>
              <w:t>imity výdavkov</w:t>
            </w:r>
          </w:p>
        </w:tc>
      </w:tr>
      <w:tr w:rsidR="002F3983" w:rsidRPr="001B75B2" w14:paraId="573C204B" w14:textId="77777777" w:rsidTr="00345C3A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 w:val="restart"/>
          </w:tcPr>
          <w:p w14:paraId="236B3BDC" w14:textId="440DE6EC" w:rsidR="002F3983" w:rsidRDefault="002F3983" w:rsidP="002F3983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 – Dlhodobý hmotný majetok</w:t>
            </w:r>
          </w:p>
        </w:tc>
        <w:tc>
          <w:tcPr>
            <w:tcW w:w="1417" w:type="dxa"/>
          </w:tcPr>
          <w:p w14:paraId="1E28E059" w14:textId="15B03197" w:rsidR="002F3983" w:rsidRPr="001B75B2" w:rsidRDefault="002F3983" w:rsidP="001B75B2">
            <w:pPr>
              <w:ind w:left="102" w:hanging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021 - Stavby</w:t>
            </w:r>
          </w:p>
        </w:tc>
        <w:tc>
          <w:tcPr>
            <w:tcW w:w="3402" w:type="dxa"/>
          </w:tcPr>
          <w:p w14:paraId="213374AD" w14:textId="6A7C3727" w:rsidR="002F3983" w:rsidRPr="00814EEF" w:rsidRDefault="002F3983" w:rsidP="00814EEF">
            <w:pPr>
              <w:pStyle w:val="Odsekzoznamu"/>
              <w:numPr>
                <w:ilvl w:val="0"/>
                <w:numId w:val="38"/>
              </w:numPr>
              <w:spacing w:after="120"/>
              <w:ind w:left="397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k-SK"/>
              </w:rPr>
            </w:pPr>
            <w:r w:rsidRPr="00814EEF">
              <w:rPr>
                <w:b/>
                <w:sz w:val="18"/>
                <w:szCs w:val="18"/>
                <w:lang w:val="sk-SK"/>
              </w:rPr>
              <w:t>Stavebné práce</w:t>
            </w:r>
          </w:p>
          <w:p w14:paraId="6EF8FCE8" w14:textId="7ECE2798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 xml:space="preserve">rekonštrukcia prívodov vody, vodovodných sietí, objektov a zariadení verejného vodovodu v obciach </w:t>
            </w:r>
            <w:r>
              <w:rPr>
                <w:rFonts w:cs="Arial"/>
                <w:sz w:val="18"/>
                <w:szCs w:val="18"/>
                <w:lang w:val="sk-SK"/>
              </w:rPr>
              <w:t>(</w:t>
            </w:r>
            <w:r w:rsidRPr="00814EEF">
              <w:rPr>
                <w:rFonts w:cs="Arial"/>
                <w:sz w:val="18"/>
                <w:szCs w:val="18"/>
                <w:lang w:val="sk-SK"/>
              </w:rPr>
              <w:t>okrem prípadov intenzifikácie a modernizácie úpravní povrchových</w:t>
            </w:r>
            <w:r>
              <w:rPr>
                <w:rFonts w:cs="Arial"/>
                <w:sz w:val="18"/>
                <w:szCs w:val="18"/>
                <w:lang w:val="sk-SK"/>
              </w:rPr>
              <w:t xml:space="preserve"> vôd pre veľkokapacitné zdroje)</w:t>
            </w:r>
          </w:p>
          <w:p w14:paraId="610B4983" w14:textId="77777777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rekonštrukcia stokovej siete, objektov a zariadení verejnej kanalizácie v obciach,</w:t>
            </w:r>
          </w:p>
          <w:p w14:paraId="091022E6" w14:textId="70E19A0D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budovanie verejných vodovodov</w:t>
            </w:r>
            <w:r>
              <w:rPr>
                <w:rFonts w:cs="Arial"/>
                <w:sz w:val="18"/>
                <w:szCs w:val="18"/>
                <w:lang w:val="sk-SK"/>
              </w:rPr>
              <w:t xml:space="preserve"> (</w:t>
            </w:r>
            <w:r w:rsidRPr="00814EEF">
              <w:rPr>
                <w:rFonts w:cs="Arial"/>
                <w:sz w:val="18"/>
                <w:szCs w:val="18"/>
                <w:lang w:val="sk-SK"/>
              </w:rPr>
              <w:t>okrem prípadov ich súbežnej výstavby s výstavbou verejnej kanalizácie v aglomeráciách nad 2 000 EO</w:t>
            </w:r>
            <w:r>
              <w:rPr>
                <w:rFonts w:cs="Arial"/>
                <w:sz w:val="18"/>
                <w:szCs w:val="18"/>
                <w:lang w:val="sk-SK"/>
              </w:rPr>
              <w:t>)</w:t>
            </w:r>
            <w:r w:rsidRPr="00814EEF">
              <w:rPr>
                <w:rFonts w:cs="Arial"/>
                <w:sz w:val="18"/>
                <w:szCs w:val="18"/>
                <w:lang w:val="sk-SK"/>
              </w:rPr>
              <w:t>,</w:t>
            </w:r>
          </w:p>
          <w:p w14:paraId="4B179224" w14:textId="19DFE4ED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budovanie verejných kanalizácií a budovanie a rekonštrukcia  čistiarní odpadových vôd v aglomeráciách do 2000 EO, a to v obciach od 1 000 do 2 000 obyvateľov s výnimkou obcí začlenených do aglomerácií do 2 000 EO s vybudovanou stokovou sieťou min. na 80 % celej predmetnej aglomerácie alebo do  aglomerácií do 2 000 EO, ktoré zasahujú do chránených vodohospodárskych oblastí, v ktorých sú veľkokapacitné zdroje podzemných vôd, kde nebol identifikovaný dobrý stav vôd alebo bol identifikovaný vodný útvar ako rizikový,</w:t>
            </w:r>
          </w:p>
          <w:p w14:paraId="624E5EF2" w14:textId="77777777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rekonštrukcia existujúcich vodárenských zdrojov podzemných vôd pri súčasnom zabezpečení splnenia požiadaviek na ich kvalitatívnu a kvantitatívnu ochranu;</w:t>
            </w:r>
          </w:p>
          <w:p w14:paraId="739D4B05" w14:textId="7DE67318" w:rsidR="002F3983" w:rsidRPr="00814EEF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intenzifikácia existujúcich vodárenských zdrojov so zohľadnením kvantitatívneho stavu daného vodného útvaru pri súčasnom zabezpečení splnenia požiadaviek na jeho kvalitatívnu a kvantitatívnu ochranu;</w:t>
            </w:r>
          </w:p>
          <w:p w14:paraId="458F12F4" w14:textId="601F27C6" w:rsidR="002F3983" w:rsidRDefault="002F3983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 w:rsidRPr="00814EEF">
              <w:rPr>
                <w:rFonts w:cs="Arial"/>
                <w:sz w:val="18"/>
                <w:szCs w:val="18"/>
                <w:lang w:val="sk-SK"/>
              </w:rPr>
              <w:t>budovanie nových vodárenských zdrojov podzemných vôd a to v limitovaných prípadoch, keď nie je technicky a/alebo ekonomicky efektívne zásobovať obyvateľov obce pitnou vodou z existujúcich vodárenskýc</w:t>
            </w:r>
            <w:r>
              <w:rPr>
                <w:rFonts w:cs="Arial"/>
                <w:sz w:val="18"/>
                <w:szCs w:val="18"/>
                <w:lang w:val="sk-SK"/>
              </w:rPr>
              <w:t>h sústav v ich bilančnom dosahu</w:t>
            </w:r>
            <w:r w:rsidR="00E9026A">
              <w:rPr>
                <w:rFonts w:cs="Arial"/>
                <w:sz w:val="18"/>
                <w:szCs w:val="18"/>
                <w:lang w:val="sk-SK"/>
              </w:rPr>
              <w:t xml:space="preserve">, resp. ich kvalita nezodpovedá </w:t>
            </w:r>
            <w:r w:rsidR="000606EA">
              <w:rPr>
                <w:rFonts w:cs="Arial"/>
                <w:sz w:val="18"/>
                <w:szCs w:val="18"/>
                <w:lang w:val="sk-SK"/>
              </w:rPr>
              <w:t xml:space="preserve">požadovaným </w:t>
            </w:r>
            <w:r w:rsidR="00E9026A">
              <w:rPr>
                <w:rFonts w:cs="Arial"/>
                <w:sz w:val="18"/>
                <w:szCs w:val="18"/>
                <w:lang w:val="sk-SK"/>
              </w:rPr>
              <w:t xml:space="preserve"> normám</w:t>
            </w:r>
            <w:r>
              <w:rPr>
                <w:rFonts w:cs="Arial"/>
                <w:sz w:val="18"/>
                <w:szCs w:val="18"/>
                <w:lang w:val="sk-SK"/>
              </w:rPr>
              <w:t>;</w:t>
            </w:r>
          </w:p>
          <w:p w14:paraId="0459521B" w14:textId="24BFC05C" w:rsidR="002F3983" w:rsidRDefault="009129AB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</w:t>
            </w:r>
            <w:r w:rsidR="002F3983">
              <w:rPr>
                <w:rFonts w:cs="Arial"/>
                <w:sz w:val="18"/>
                <w:szCs w:val="18"/>
                <w:lang w:val="sk-SK"/>
              </w:rPr>
              <w:t xml:space="preserve">emolácia a následná úprava </w:t>
            </w:r>
            <w:r w:rsidR="002F3983">
              <w:rPr>
                <w:rFonts w:cs="Arial"/>
                <w:sz w:val="18"/>
                <w:szCs w:val="18"/>
                <w:lang w:val="sk-SK"/>
              </w:rPr>
              <w:lastRenderedPageBreak/>
              <w:t>verejnej komunikácie realizovaná v nevyhnutnom rozsahu v priamej väzbe na projekt;</w:t>
            </w:r>
          </w:p>
          <w:p w14:paraId="3559F633" w14:textId="0FB77BE2" w:rsidR="002F3983" w:rsidRPr="00353759" w:rsidRDefault="009129AB" w:rsidP="00B44777">
            <w:pPr>
              <w:pStyle w:val="Odsekzoznamu"/>
              <w:numPr>
                <w:ilvl w:val="0"/>
                <w:numId w:val="44"/>
              </w:numPr>
              <w:tabs>
                <w:tab w:val="left" w:pos="1425"/>
              </w:tabs>
              <w:spacing w:after="120"/>
              <w:ind w:left="398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</w:t>
            </w:r>
            <w:r w:rsidR="002F3983">
              <w:rPr>
                <w:rFonts w:cs="Arial"/>
                <w:sz w:val="18"/>
                <w:szCs w:val="18"/>
                <w:lang w:val="sk-SK"/>
              </w:rPr>
              <w:t>bslužné a vnútro areálové komunikácie výlučne v prípade budovania ČOV.</w:t>
            </w:r>
          </w:p>
        </w:tc>
        <w:tc>
          <w:tcPr>
            <w:tcW w:w="4111" w:type="dxa"/>
          </w:tcPr>
          <w:p w14:paraId="4409AC4B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4223A47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6C6966A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2943DC9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C12FA26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6F134B22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5236548E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956B982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5F17759C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207C32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1ED69513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921AE94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C3331D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30BE949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1B0169BE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04257CC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C2EE24F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1DACC931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8AF2423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420A0332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15295CA6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6ED40AB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57AC1A72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07F6CF2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3383381D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4C0C6CDA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13B8D501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34D05571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376A8DDE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DD151DF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323E91C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56B8138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284919D6" w14:textId="77777777" w:rsidR="002F3983" w:rsidRDefault="002F3983" w:rsidP="0081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11F84D5" w14:textId="1770EE14" w:rsidR="002F3983" w:rsidRDefault="002F3983" w:rsidP="00F93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032FAE3E" w14:textId="77777777" w:rsidR="002F3983" w:rsidRPr="001B75B2" w:rsidRDefault="002F3983" w:rsidP="00B6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</w:tr>
      <w:tr w:rsidR="002F3983" w:rsidRPr="001B75B2" w14:paraId="46113356" w14:textId="77777777" w:rsidTr="00345C3A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/>
          </w:tcPr>
          <w:p w14:paraId="1A94E828" w14:textId="77777777" w:rsidR="002F3983" w:rsidRDefault="002F3983" w:rsidP="002F3983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</w:tcPr>
          <w:p w14:paraId="5D9B0206" w14:textId="3458DD13" w:rsidR="002F3983" w:rsidRPr="00353759" w:rsidRDefault="002F3983" w:rsidP="002F3983">
            <w:pPr>
              <w:ind w:left="102" w:hanging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353759">
              <w:rPr>
                <w:sz w:val="18"/>
                <w:szCs w:val="18"/>
                <w:lang w:val="sk-SK"/>
              </w:rPr>
              <w:t>027 – Pozemky</w:t>
            </w:r>
          </w:p>
        </w:tc>
        <w:tc>
          <w:tcPr>
            <w:tcW w:w="3402" w:type="dxa"/>
          </w:tcPr>
          <w:p w14:paraId="1EA98290" w14:textId="5025ED5B" w:rsidR="002F3983" w:rsidRPr="00353759" w:rsidRDefault="002F3983" w:rsidP="009129AB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k-SK"/>
              </w:rPr>
            </w:pPr>
            <w:r w:rsidRPr="00353759">
              <w:rPr>
                <w:sz w:val="18"/>
                <w:szCs w:val="18"/>
                <w:lang w:val="sk-SK"/>
              </w:rPr>
              <w:t>nákup pozemkov za účelom realizácie aktivít projektu</w:t>
            </w:r>
          </w:p>
        </w:tc>
        <w:tc>
          <w:tcPr>
            <w:tcW w:w="4111" w:type="dxa"/>
          </w:tcPr>
          <w:p w14:paraId="5A0F9286" w14:textId="545039EB" w:rsidR="002F3983" w:rsidRPr="00353759" w:rsidRDefault="00B629FA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</w:t>
            </w:r>
            <w:r w:rsidR="002F3983" w:rsidRPr="00353759">
              <w:rPr>
                <w:sz w:val="18"/>
                <w:szCs w:val="18"/>
                <w:lang w:val="sk-SK"/>
              </w:rPr>
              <w:t>bstarávacia cena pozemk</w:t>
            </w:r>
            <w:r w:rsidR="008751A5">
              <w:rPr>
                <w:sz w:val="18"/>
                <w:szCs w:val="18"/>
                <w:lang w:val="sk-SK"/>
              </w:rPr>
              <w:t>ov</w:t>
            </w:r>
            <w:r w:rsidR="002F3983" w:rsidRPr="00353759">
              <w:rPr>
                <w:sz w:val="18"/>
                <w:szCs w:val="18"/>
                <w:lang w:val="sk-SK"/>
              </w:rPr>
              <w:t xml:space="preserve"> nesmie presiahnuť sumu 10% celkových oprávnených výdavkov na projekt</w:t>
            </w:r>
            <w:r>
              <w:rPr>
                <w:sz w:val="18"/>
                <w:szCs w:val="18"/>
                <w:lang w:val="sk-SK"/>
              </w:rPr>
              <w:t>.</w:t>
            </w:r>
          </w:p>
          <w:p w14:paraId="680294BE" w14:textId="784E2A19" w:rsidR="002F3983" w:rsidRPr="00353759" w:rsidRDefault="00B629FA" w:rsidP="00B6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</w:t>
            </w:r>
            <w:r w:rsidR="002F3983" w:rsidRPr="00353759">
              <w:rPr>
                <w:sz w:val="18"/>
                <w:szCs w:val="18"/>
                <w:lang w:val="sk-SK"/>
              </w:rPr>
              <w:t>právneným výdavkom je obstarávacia cena, maximálne však do výšky všeobecnej hodnoty zistenej znaleckým posudkom</w:t>
            </w:r>
            <w:r>
              <w:rPr>
                <w:sz w:val="18"/>
                <w:szCs w:val="18"/>
                <w:lang w:val="sk-SK"/>
              </w:rPr>
              <w:t>.</w:t>
            </w:r>
          </w:p>
        </w:tc>
      </w:tr>
      <w:tr w:rsidR="002F3983" w:rsidRPr="001B75B2" w14:paraId="3EF19F3A" w14:textId="77777777" w:rsidTr="0034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Merge/>
          </w:tcPr>
          <w:p w14:paraId="4156E6E8" w14:textId="77777777" w:rsidR="002F3983" w:rsidRDefault="002F3983" w:rsidP="002F3983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</w:tcPr>
          <w:p w14:paraId="4826AEA2" w14:textId="3EAD1BA2" w:rsidR="002F3983" w:rsidRPr="00034306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022 – Samostatné hnuteľné veci a súbory hnuteľných vecí</w:t>
            </w:r>
          </w:p>
        </w:tc>
        <w:tc>
          <w:tcPr>
            <w:tcW w:w="3402" w:type="dxa"/>
          </w:tcPr>
          <w:p w14:paraId="1209F397" w14:textId="77777777" w:rsidR="002F3983" w:rsidRDefault="002F3983" w:rsidP="002F3983">
            <w:pPr>
              <w:pStyle w:val="Odsekzoznamu"/>
              <w:numPr>
                <w:ilvl w:val="0"/>
                <w:numId w:val="39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nákup prevádzkových/špeciálnych strojov, prístrojov, zariadení, techniky a náradia vrátane prvého zaškolenia obsluhy, ak verejné obstarávanie tovarov (technologického a strojného zariadenia) je mimo stavebných prác</w:t>
            </w:r>
          </w:p>
          <w:p w14:paraId="0F065293" w14:textId="65B20520" w:rsidR="002F3983" w:rsidRPr="002F3983" w:rsidRDefault="002F3983" w:rsidP="002F3983">
            <w:pPr>
              <w:pStyle w:val="Odsekzoznamu"/>
              <w:numPr>
                <w:ilvl w:val="0"/>
                <w:numId w:val="39"/>
              </w:numPr>
              <w:spacing w:before="120"/>
              <w:ind w:left="210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nákup technológií alebo časti technológií tvoriacich navzájom funkčný celok </w:t>
            </w:r>
          </w:p>
        </w:tc>
        <w:tc>
          <w:tcPr>
            <w:tcW w:w="4111" w:type="dxa"/>
          </w:tcPr>
          <w:p w14:paraId="4B74125F" w14:textId="0A3D0790" w:rsidR="002F3983" w:rsidRPr="001B75B2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</w:tr>
      <w:tr w:rsidR="002F3983" w:rsidRPr="001B75B2" w14:paraId="032A78FC" w14:textId="77777777" w:rsidTr="0034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2A8D3777" w14:textId="0EADB014" w:rsidR="002F3983" w:rsidRDefault="006B6ECA" w:rsidP="002F3983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51 - Služby</w:t>
            </w:r>
          </w:p>
        </w:tc>
        <w:tc>
          <w:tcPr>
            <w:tcW w:w="1417" w:type="dxa"/>
          </w:tcPr>
          <w:p w14:paraId="12C96875" w14:textId="64304328" w:rsidR="002F3983" w:rsidRPr="001B75B2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518 – Ostatné služby</w:t>
            </w:r>
          </w:p>
        </w:tc>
        <w:tc>
          <w:tcPr>
            <w:tcW w:w="3402" w:type="dxa"/>
          </w:tcPr>
          <w:p w14:paraId="53B91DE7" w14:textId="367F0DA0" w:rsidR="002F3983" w:rsidRPr="00BB4CAE" w:rsidRDefault="002F3983" w:rsidP="002F3983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>projektová dokumentácia</w:t>
            </w:r>
          </w:p>
          <w:p w14:paraId="1CFFBDE4" w14:textId="77777777" w:rsidR="002F3983" w:rsidRPr="00BB4CAE" w:rsidRDefault="002F3983" w:rsidP="002F3983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>stavebný dozor</w:t>
            </w:r>
          </w:p>
          <w:p w14:paraId="71C3779B" w14:textId="0FCF3AC5" w:rsidR="002F3983" w:rsidRPr="00BB4CAE" w:rsidRDefault="002F3983" w:rsidP="002F3983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>odborný autorský dohľad (výlučne v prípade budovania ČOV)</w:t>
            </w:r>
          </w:p>
          <w:p w14:paraId="3D61A043" w14:textId="6D9DC052" w:rsidR="00D50AD6" w:rsidRPr="00BB4CAE" w:rsidRDefault="00D50AD6" w:rsidP="002F3983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>zabezpečenie informovanosti a komunikácie projektu (</w:t>
            </w:r>
            <w:r w:rsidRPr="00BB4CAE">
              <w:rPr>
                <w:lang w:val="sk-SK"/>
              </w:rPr>
              <w:t>výroba a osadenie dočasného pútača a stálej tabule, alebo plagátu</w:t>
            </w:r>
            <w:r w:rsidRPr="00BB4CAE">
              <w:rPr>
                <w:rStyle w:val="Odkaznapoznmkupodiarou"/>
                <w:lang w:val="sk-SK"/>
              </w:rPr>
              <w:footnoteReference w:id="1"/>
            </w:r>
            <w:r w:rsidRPr="00BB4CAE">
              <w:rPr>
                <w:lang w:val="sk-SK"/>
              </w:rPr>
              <w:t>)</w:t>
            </w:r>
          </w:p>
          <w:p w14:paraId="7FBD191B" w14:textId="254566C2" w:rsidR="002F3983" w:rsidRPr="00BB4CAE" w:rsidRDefault="002F3983" w:rsidP="002F3983">
            <w:pPr>
              <w:pStyle w:val="Odsekzoznamu"/>
              <w:ind w:left="2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  <w:tc>
          <w:tcPr>
            <w:tcW w:w="4111" w:type="dxa"/>
          </w:tcPr>
          <w:p w14:paraId="38F60CF1" w14:textId="7E9F9B1A" w:rsidR="002F3983" w:rsidRPr="00BB4CAE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 xml:space="preserve">Limit pre cenu za výkon služieb stavebného dozoru </w:t>
            </w:r>
            <w:r w:rsidRPr="00BB4CA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do </w:t>
            </w:r>
            <w:r w:rsidRPr="00965AD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výšky </w:t>
            </w:r>
            <w:r w:rsidR="001F00D4" w:rsidRPr="00965AD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2,0</w:t>
            </w:r>
            <w:r w:rsidRPr="00965AD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 % z </w:t>
            </w:r>
            <w:r w:rsidR="00F06C51" w:rsidRPr="00965ADA">
              <w:rPr>
                <w:sz w:val="18"/>
                <w:lang w:val="sk-SK"/>
              </w:rPr>
              <w:t>celkových</w:t>
            </w:r>
            <w:r w:rsidR="00F06C51" w:rsidRPr="00BB4CAE">
              <w:rPr>
                <w:sz w:val="18"/>
                <w:lang w:val="sk-SK"/>
              </w:rPr>
              <w:t xml:space="preserve"> oprávnených výdavkov na stavebné práce</w:t>
            </w:r>
            <w:r w:rsidR="00F06C51" w:rsidRPr="00BB4CA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.</w:t>
            </w:r>
          </w:p>
          <w:p w14:paraId="532E240E" w14:textId="77777777" w:rsidR="002F3983" w:rsidRPr="00BB4CAE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  <w:p w14:paraId="62F90B9A" w14:textId="77777777" w:rsidR="002F3983" w:rsidRPr="00BB4CAE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  <w:r w:rsidRPr="00BB4CAE">
              <w:rPr>
                <w:sz w:val="18"/>
                <w:szCs w:val="18"/>
                <w:lang w:val="sk-SK"/>
              </w:rPr>
              <w:t xml:space="preserve">Limit pre cenu za výkon služieb odborného autorského dohľadu </w:t>
            </w:r>
            <w:r w:rsidR="00353759" w:rsidRPr="00BB4CAE">
              <w:rPr>
                <w:sz w:val="18"/>
                <w:szCs w:val="18"/>
                <w:lang w:val="sk-SK"/>
              </w:rPr>
              <w:t xml:space="preserve">(výlučne v prípade budovania ČOV) </w:t>
            </w:r>
            <w:r w:rsidRPr="00BB4CA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do </w:t>
            </w:r>
            <w:r w:rsidRPr="00965ADA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 xml:space="preserve">výšky 1,0 % z </w:t>
            </w:r>
            <w:r w:rsidR="00F06C51" w:rsidRPr="00965ADA">
              <w:rPr>
                <w:sz w:val="18"/>
                <w:lang w:val="sk-SK"/>
              </w:rPr>
              <w:t>celkových</w:t>
            </w:r>
            <w:r w:rsidR="00F06C51" w:rsidRPr="00BB4CAE">
              <w:rPr>
                <w:sz w:val="18"/>
                <w:lang w:val="sk-SK"/>
              </w:rPr>
              <w:t xml:space="preserve"> oprávnených výdavkov na stavebné práce</w:t>
            </w:r>
            <w:r w:rsidR="00F06C51" w:rsidRPr="00BB4CA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.</w:t>
            </w:r>
          </w:p>
          <w:p w14:paraId="073EF7CD" w14:textId="77777777" w:rsidR="00BB4CAE" w:rsidRPr="00BB4CAE" w:rsidRDefault="00BB4CAE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</w:p>
          <w:p w14:paraId="5EB2CEA7" w14:textId="77777777" w:rsidR="00BB4CAE" w:rsidRPr="00BB4CAE" w:rsidRDefault="00BB4CAE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</w:pPr>
            <w:r w:rsidRPr="00BB4CAE">
              <w:rPr>
                <w:rFonts w:asciiTheme="minorHAnsi" w:hAnsiTheme="minorHAnsi" w:cstheme="minorHAnsi"/>
                <w:bCs/>
                <w:sz w:val="18"/>
                <w:szCs w:val="16"/>
                <w:lang w:val="sk-SK"/>
              </w:rPr>
              <w:t>Limity pre informovanie a komunikáciu projektu:</w:t>
            </w:r>
          </w:p>
          <w:tbl>
            <w:tblPr>
              <w:tblStyle w:val="Mriekatabuky"/>
              <w:tblW w:w="0" w:type="auto"/>
              <w:tblBorders>
                <w:top w:val="single" w:sz="4" w:space="0" w:color="72C7E7"/>
                <w:insideV w:val="single" w:sz="4" w:space="0" w:color="72C7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1047"/>
            </w:tblGrid>
            <w:tr w:rsidR="00BB4CAE" w:rsidRPr="00BB4CAE" w14:paraId="7D82FE16" w14:textId="77777777" w:rsidTr="00E633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6DCBE55B" w14:textId="2D63A796" w:rsidR="00BB4CAE" w:rsidRPr="00BB4CAE" w:rsidRDefault="00BB4CAE" w:rsidP="00BB4CAE">
                  <w:pPr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</w:pPr>
                  <w:r w:rsidRPr="00BB4CAE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Oprávnený výdavok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14:paraId="422AC2E1" w14:textId="77777777" w:rsidR="00BB4CAE" w:rsidRPr="00BB4CAE" w:rsidRDefault="00BB4CAE" w:rsidP="00BB4CA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</w:pPr>
                  <w:r w:rsidRPr="00BB4CAE">
                    <w:rPr>
                      <w:b w:val="0"/>
                      <w:color w:val="auto"/>
                      <w:sz w:val="18"/>
                      <w:szCs w:val="18"/>
                      <w:lang w:val="sk-SK"/>
                    </w:rPr>
                    <w:t>Limit</w:t>
                  </w:r>
                </w:p>
              </w:tc>
            </w:tr>
            <w:tr w:rsidR="00BB4CAE" w:rsidRPr="00BB4CAE" w14:paraId="542170BC" w14:textId="77777777" w:rsidTr="00E6335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255A95B8" w14:textId="0068CB34" w:rsidR="00BB4CAE" w:rsidRPr="00BB4CAE" w:rsidRDefault="00BB4CAE" w:rsidP="00BB4CA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BB4CAE">
                    <w:rPr>
                      <w:rFonts w:asciiTheme="minorHAnsi" w:hAnsiTheme="minorHAnsi" w:cstheme="minorHAnsi"/>
                      <w:bCs/>
                      <w:color w:val="000000" w:themeColor="text1"/>
                      <w:szCs w:val="19"/>
                      <w:lang w:val="sk-SK"/>
                    </w:rPr>
                    <w:t>Veľkoplošný pútač</w:t>
                  </w:r>
                  <w:r w:rsidRPr="00BB4CAE">
                    <w:rPr>
                      <w:rStyle w:val="Odkaznapoznmkupodiarou"/>
                      <w:rFonts w:cstheme="minorHAnsi"/>
                      <w:bCs/>
                      <w:color w:val="000000" w:themeColor="text1"/>
                      <w:szCs w:val="19"/>
                      <w:lang w:val="sk-SK"/>
                    </w:rPr>
                    <w:footnoteReference w:id="2"/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1F2E73E9" w14:textId="13CECE2D" w:rsidR="00BB4CAE" w:rsidRPr="00BB4CAE" w:rsidRDefault="00BB4CAE" w:rsidP="00BB4C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500 EUR</w:t>
                  </w:r>
                </w:p>
              </w:tc>
            </w:tr>
            <w:tr w:rsidR="00BB4CAE" w:rsidRPr="00BB4CAE" w14:paraId="5D95FCA2" w14:textId="77777777" w:rsidTr="00E6335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21EEB3E4" w14:textId="7A499B1F" w:rsidR="00BB4CAE" w:rsidRPr="00BB4CAE" w:rsidRDefault="00BB4CAE" w:rsidP="00BB4CA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BB4CAE">
                    <w:rPr>
                      <w:rFonts w:asciiTheme="minorHAnsi" w:hAnsiTheme="minorHAnsi" w:cstheme="minorHAnsi"/>
                      <w:bCs/>
                      <w:color w:val="000000" w:themeColor="text1"/>
                      <w:szCs w:val="19"/>
                      <w:lang w:val="sk-SK"/>
                    </w:rPr>
                    <w:t>Stála tabuľa</w:t>
                  </w:r>
                  <w:r w:rsidRPr="00BB4CAE">
                    <w:rPr>
                      <w:rStyle w:val="Odkaznapoznmkupodiarou"/>
                      <w:rFonts w:cstheme="minorHAnsi"/>
                      <w:bCs/>
                      <w:color w:val="000000" w:themeColor="text1"/>
                      <w:szCs w:val="19"/>
                      <w:lang w:val="sk-SK"/>
                    </w:rPr>
                    <w:footnoteReference w:id="3"/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5D77F244" w14:textId="7FC84ABE" w:rsidR="00BB4CAE" w:rsidRPr="00BB4CAE" w:rsidRDefault="00BB4CAE" w:rsidP="00BB4C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300 EUR</w:t>
                  </w:r>
                </w:p>
              </w:tc>
            </w:tr>
            <w:tr w:rsidR="00BB4CAE" w:rsidRPr="00BB4CAE" w14:paraId="47EA7037" w14:textId="77777777" w:rsidTr="00E6335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54" w:type="dxa"/>
                  <w:shd w:val="clear" w:color="auto" w:fill="auto"/>
                  <w:vAlign w:val="center"/>
                </w:tcPr>
                <w:p w14:paraId="5E09BC33" w14:textId="723EA2A7" w:rsidR="00BB4CAE" w:rsidRPr="00BB4CAE" w:rsidRDefault="00BB4CAE" w:rsidP="00BB4CA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sk-SK"/>
                    </w:rPr>
                  </w:pPr>
                  <w:r w:rsidRPr="00BB4CAE">
                    <w:rPr>
                      <w:rFonts w:asciiTheme="minorHAnsi" w:hAnsiTheme="minorHAnsi" w:cstheme="minorHAnsi"/>
                      <w:bCs/>
                      <w:color w:val="000000" w:themeColor="text1"/>
                      <w:szCs w:val="19"/>
                      <w:lang w:val="sk-SK"/>
                    </w:rPr>
                    <w:t>Plagát</w:t>
                  </w:r>
                  <w:r w:rsidRPr="00BB4CAE">
                    <w:rPr>
                      <w:rStyle w:val="Odkaznapoznmkupodiarou"/>
                      <w:rFonts w:cstheme="minorHAnsi"/>
                      <w:bCs/>
                      <w:color w:val="000000" w:themeColor="text1"/>
                      <w:szCs w:val="19"/>
                      <w:lang w:val="sk-SK"/>
                    </w:rPr>
                    <w:footnoteReference w:id="4"/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14:paraId="3685D934" w14:textId="41E85648" w:rsidR="00BB4CAE" w:rsidRPr="00BB4CAE" w:rsidRDefault="00BB4CAE" w:rsidP="00BB4C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  <w:lang w:val="sk-SK"/>
                    </w:rPr>
                  </w:pPr>
                  <w:r>
                    <w:rPr>
                      <w:sz w:val="18"/>
                      <w:szCs w:val="18"/>
                      <w:lang w:val="sk-SK"/>
                    </w:rPr>
                    <w:t>30 EUR</w:t>
                  </w:r>
                </w:p>
              </w:tc>
            </w:tr>
          </w:tbl>
          <w:p w14:paraId="62D0E693" w14:textId="54D73255" w:rsidR="00BB4CAE" w:rsidRPr="00BB4CAE" w:rsidRDefault="00BB4CAE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</w:p>
        </w:tc>
      </w:tr>
      <w:tr w:rsidR="002F3983" w:rsidRPr="001B75B2" w14:paraId="24E80754" w14:textId="77777777" w:rsidTr="0034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6D927D1D" w14:textId="0CAECC77" w:rsidR="002F3983" w:rsidRDefault="006B6ECA" w:rsidP="002F3983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90 - Zjednodušené vykazovanie výdavkov a rezerva</w:t>
            </w:r>
          </w:p>
        </w:tc>
        <w:tc>
          <w:tcPr>
            <w:tcW w:w="1417" w:type="dxa"/>
          </w:tcPr>
          <w:p w14:paraId="3F75C0AE" w14:textId="299E2221" w:rsidR="002F3983" w:rsidRDefault="002F3983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930 – </w:t>
            </w:r>
            <w:r w:rsidR="00E43DB7">
              <w:rPr>
                <w:sz w:val="18"/>
                <w:szCs w:val="18"/>
                <w:lang w:val="sk-SK"/>
              </w:rPr>
              <w:t>R</w:t>
            </w:r>
            <w:r>
              <w:rPr>
                <w:sz w:val="18"/>
                <w:szCs w:val="18"/>
                <w:lang w:val="sk-SK"/>
              </w:rPr>
              <w:t xml:space="preserve">ezerva na nepredvídané  výdavky </w:t>
            </w:r>
          </w:p>
        </w:tc>
        <w:tc>
          <w:tcPr>
            <w:tcW w:w="3402" w:type="dxa"/>
          </w:tcPr>
          <w:p w14:paraId="236DB9CA" w14:textId="1940031C" w:rsidR="002F3983" w:rsidRPr="00BB4CAE" w:rsidRDefault="002F3983" w:rsidP="002F3983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lang w:val="sk-SK"/>
              </w:rPr>
              <w:t>rezerva na nepredvídané výdavky súvisiace so stavebnými prácami maximálne do výšky 2,5 % celkových oprávnených výdavkov na stavebné práce</w:t>
            </w:r>
          </w:p>
        </w:tc>
        <w:tc>
          <w:tcPr>
            <w:tcW w:w="4111" w:type="dxa"/>
          </w:tcPr>
          <w:p w14:paraId="3829567F" w14:textId="00C252C8" w:rsidR="002F3983" w:rsidRPr="00BB4CAE" w:rsidRDefault="00F06C51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 w:rsidRPr="00BB4CAE">
              <w:rPr>
                <w:sz w:val="18"/>
                <w:lang w:val="sk-SK"/>
              </w:rPr>
              <w:t>M</w:t>
            </w:r>
            <w:r w:rsidR="002F3983" w:rsidRPr="00BB4CAE">
              <w:rPr>
                <w:sz w:val="18"/>
                <w:lang w:val="sk-SK"/>
              </w:rPr>
              <w:t>aximálne do výšky 2,5 % celkových oprávnených výdavkov na stavebné práce</w:t>
            </w:r>
            <w:r w:rsidRPr="00BB4CAE">
              <w:rPr>
                <w:sz w:val="18"/>
                <w:lang w:val="sk-SK"/>
              </w:rPr>
              <w:t>.</w:t>
            </w:r>
          </w:p>
        </w:tc>
      </w:tr>
      <w:tr w:rsidR="00C100A0" w:rsidRPr="001B75B2" w14:paraId="49B162E4" w14:textId="77777777" w:rsidTr="0034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6FEE5804" w14:textId="3AEEC0D2" w:rsidR="00C100A0" w:rsidRDefault="00E43DB7" w:rsidP="002F3983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52 – Osobné výdavky</w:t>
            </w:r>
          </w:p>
        </w:tc>
        <w:tc>
          <w:tcPr>
            <w:tcW w:w="1417" w:type="dxa"/>
          </w:tcPr>
          <w:p w14:paraId="25B37E1A" w14:textId="26DC8A02" w:rsidR="00C100A0" w:rsidRDefault="00E43DB7" w:rsidP="002F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521 – Mzdové výdavky</w:t>
            </w:r>
          </w:p>
        </w:tc>
        <w:tc>
          <w:tcPr>
            <w:tcW w:w="3402" w:type="dxa"/>
          </w:tcPr>
          <w:p w14:paraId="1D0F070B" w14:textId="77777777" w:rsidR="00E43DB7" w:rsidRPr="00E43DB7" w:rsidRDefault="00E43DB7" w:rsidP="00E43DB7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k-SK"/>
              </w:rPr>
            </w:pPr>
            <w:r w:rsidRPr="00E43DB7">
              <w:rPr>
                <w:sz w:val="18"/>
                <w:lang w:val="sk-SK"/>
              </w:rPr>
              <w:t>mzdové výdavky a poistné zamestnancov prijímateľa bezprostredne súvisiace s riadením projektu - interné (nepriame výdavky);</w:t>
            </w:r>
          </w:p>
          <w:p w14:paraId="71F96D9B" w14:textId="68185CE5" w:rsidR="00C100A0" w:rsidRPr="00BB4CAE" w:rsidRDefault="00E43DB7" w:rsidP="00E43DB7">
            <w:pPr>
              <w:pStyle w:val="Odsekzoznamu"/>
              <w:numPr>
                <w:ilvl w:val="0"/>
                <w:numId w:val="40"/>
              </w:numPr>
              <w:ind w:left="209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k-SK"/>
              </w:rPr>
            </w:pPr>
            <w:r w:rsidRPr="00E43DB7">
              <w:rPr>
                <w:sz w:val="18"/>
                <w:lang w:val="sk-SK"/>
              </w:rPr>
              <w:t xml:space="preserve">odmeny za práce vykonané mimo pracovného pomeru vrátane povinných odvodov za zamestnávateľa, pričom mimo pracovným pomerom sa rozumejú vzťahy uzatvorené v zmysle ustanovení §§ 223-228 z. č. 311/2001 Z. z. Zákonníka práce v znení </w:t>
            </w:r>
            <w:r w:rsidRPr="00E43DB7">
              <w:rPr>
                <w:sz w:val="18"/>
                <w:lang w:val="sk-SK"/>
              </w:rPr>
              <w:lastRenderedPageBreak/>
              <w:t>neskorších predpisov (t. j. dohoda o vykonaní práce ak ide o prácu, ktorá je vymedzená výsledkom, dohoda o pracovnej činnosti ak ide o príležitostnú činnosť vymedzenú druhom práce a dohoda o brigádnickej práci študentov) bezprostredne súvisiace s riadením projektu - interné (nepriame výdavky).</w:t>
            </w:r>
          </w:p>
        </w:tc>
        <w:tc>
          <w:tcPr>
            <w:tcW w:w="4111" w:type="dxa"/>
          </w:tcPr>
          <w:p w14:paraId="08EEBC10" w14:textId="6A23AC61" w:rsidR="00C100A0" w:rsidRPr="00BB4CAE" w:rsidRDefault="00E43DB7" w:rsidP="00E4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lastRenderedPageBreak/>
              <w:t xml:space="preserve">Mesačná mzda - </w:t>
            </w:r>
            <w:r w:rsidRPr="00E43DB7">
              <w:rPr>
                <w:sz w:val="18"/>
                <w:lang w:val="sk-SK"/>
              </w:rPr>
              <w:t xml:space="preserve">hrubá mzda zamestnanca za predpokladu </w:t>
            </w:r>
            <w:r>
              <w:rPr>
                <w:sz w:val="18"/>
                <w:lang w:val="sk-SK"/>
              </w:rPr>
              <w:t xml:space="preserve">100% </w:t>
            </w:r>
            <w:proofErr w:type="spellStart"/>
            <w:r>
              <w:rPr>
                <w:sz w:val="18"/>
                <w:lang w:val="sk-SK"/>
              </w:rPr>
              <w:t>utilizácie</w:t>
            </w:r>
            <w:proofErr w:type="spellEnd"/>
            <w:r w:rsidRPr="00E43DB7">
              <w:rPr>
                <w:sz w:val="18"/>
                <w:lang w:val="sk-SK"/>
              </w:rPr>
              <w:t xml:space="preserve"> na projekte</w:t>
            </w:r>
            <w:r w:rsidR="00A51A25">
              <w:rPr>
                <w:sz w:val="18"/>
                <w:lang w:val="sk-SK"/>
              </w:rPr>
              <w:t xml:space="preserve"> </w:t>
            </w:r>
            <w:r>
              <w:rPr>
                <w:sz w:val="18"/>
                <w:lang w:val="sk-SK"/>
              </w:rPr>
              <w:t>max. 1400 EUR/mesiac.</w:t>
            </w:r>
          </w:p>
        </w:tc>
      </w:tr>
    </w:tbl>
    <w:p w14:paraId="1BABC4A1" w14:textId="00E21289" w:rsidR="00F37270" w:rsidRDefault="00F37270" w:rsidP="006F71E5">
      <w:pPr>
        <w:rPr>
          <w:szCs w:val="19"/>
          <w:lang w:val="sk-SK"/>
        </w:rPr>
      </w:pPr>
    </w:p>
    <w:p w14:paraId="78E18753" w14:textId="51B5B97E" w:rsidR="00034306" w:rsidRPr="006B6ECA" w:rsidRDefault="00F37270" w:rsidP="00B44777">
      <w:pPr>
        <w:rPr>
          <w:rFonts w:asciiTheme="minorHAnsi" w:hAnsiTheme="minorHAnsi" w:cstheme="minorHAnsi"/>
          <w:b/>
          <w:color w:val="002776" w:themeColor="text2"/>
          <w:sz w:val="24"/>
          <w:lang w:val="sk-SK"/>
        </w:rPr>
      </w:pPr>
      <w:r>
        <w:rPr>
          <w:szCs w:val="19"/>
          <w:lang w:val="sk-SK"/>
        </w:rPr>
        <w:br w:type="page"/>
      </w:r>
      <w:r w:rsidR="00034306" w:rsidRPr="006B6ECA">
        <w:rPr>
          <w:rFonts w:asciiTheme="minorHAnsi" w:hAnsiTheme="minorHAnsi" w:cstheme="minorHAnsi"/>
          <w:b/>
          <w:color w:val="002776" w:themeColor="text2"/>
          <w:sz w:val="24"/>
          <w:lang w:val="sk-SK"/>
        </w:rPr>
        <w:lastRenderedPageBreak/>
        <w:t>Stanovenie referenčnej hodnoty benchmarkov</w:t>
      </w:r>
    </w:p>
    <w:p w14:paraId="7F11732F" w14:textId="77777777" w:rsidR="00034306" w:rsidRPr="00034306" w:rsidRDefault="00034306" w:rsidP="00034306">
      <w:pPr>
        <w:jc w:val="center"/>
        <w:rPr>
          <w:b/>
          <w:sz w:val="24"/>
          <w:szCs w:val="16"/>
          <w:lang w:val="sk-SK"/>
        </w:rPr>
      </w:pPr>
    </w:p>
    <w:p w14:paraId="5B7CD1FA" w14:textId="77777777" w:rsidR="00034306" w:rsidRDefault="00034306" w:rsidP="00034306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szCs w:val="19"/>
          <w:lang w:val="sk-SK"/>
        </w:rPr>
      </w:pPr>
      <w:r w:rsidRPr="00034306">
        <w:rPr>
          <w:szCs w:val="19"/>
          <w:lang w:val="sk-SK"/>
        </w:rPr>
        <w:t xml:space="preserve">V prípade </w:t>
      </w:r>
      <w:r w:rsidRPr="00034306">
        <w:rPr>
          <w:b/>
          <w:szCs w:val="19"/>
          <w:lang w:val="sk-SK"/>
        </w:rPr>
        <w:t>gravitačných kanalizácií</w:t>
      </w:r>
      <w:r w:rsidRPr="00034306">
        <w:rPr>
          <w:szCs w:val="19"/>
          <w:lang w:val="sk-SK"/>
        </w:rPr>
        <w:t xml:space="preserve"> je hodnota benchmarku stanovená pre potrubie s priemerom do DN 400 mm, bez ČOV, bez vodovodu v spoločnej ryhe, rovnaká pre výstavbu (novobudovanú kanalizáciu), rozšírenie (dobudovanie kanalizácie) a zvýšenie hydraulickej kapacity (výmena kanalizácie z dôvodu zvyšovania priemeru potrubia). </w:t>
      </w:r>
    </w:p>
    <w:p w14:paraId="629A5FC5" w14:textId="4D4A9047" w:rsidR="00B8046A" w:rsidRPr="00B8046A" w:rsidRDefault="00B8046A" w:rsidP="00B8046A">
      <w:pPr>
        <w:pStyle w:val="Odsekzoznamu"/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Stanovená hodnota benchmarku zahŕňa nasledovné hlavné položky nákladov:</w:t>
      </w:r>
    </w:p>
    <w:p w14:paraId="575900C0" w14:textId="5E013B41" w:rsidR="00B8046A" w:rsidRPr="00B8046A" w:rsidRDefault="00B8046A" w:rsidP="00B8046A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dodávka a montáž gravitačného kanalizačného systému vybudovaného z kanalizačných potrubí s priemerom do DN 400 mm,</w:t>
      </w:r>
    </w:p>
    <w:p w14:paraId="0C7EAD14" w14:textId="704B0866" w:rsidR="00B8046A" w:rsidRPr="00B8046A" w:rsidRDefault="00B8046A" w:rsidP="00B8046A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dodávka a montáž kanalizačných šácht s priemerom DN 1000 mm s kompletným vystrojením,</w:t>
      </w:r>
    </w:p>
    <w:p w14:paraId="72C29E3F" w14:textId="098E1E74" w:rsidR="00B8046A" w:rsidRPr="00B8046A" w:rsidRDefault="00B8046A" w:rsidP="00B8046A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zemné práce/výkopové práce vrátane paženia, zásypy a obsypy pri triede ťažiteľnosti horniny I. až IV., vrátane príplatkov za lepivosť,</w:t>
      </w:r>
    </w:p>
    <w:p w14:paraId="08311E86" w14:textId="2C33031C" w:rsidR="00B8046A" w:rsidRPr="00034306" w:rsidRDefault="00B8046A" w:rsidP="00B8046A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spätné úpravy v komunikácii, vrátane zriadenia podkladu a krytu vozovky zodpovedajúcej šírke ryhy a preplátovaniu 500 mm z oboch strán.</w:t>
      </w:r>
    </w:p>
    <w:p w14:paraId="5E90400E" w14:textId="77777777" w:rsidR="00034306" w:rsidRDefault="00034306" w:rsidP="00034306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lang w:val="sk-SK"/>
        </w:rPr>
      </w:pPr>
      <w:r w:rsidRPr="00F46ADB">
        <w:rPr>
          <w:lang w:val="sk-SK"/>
        </w:rPr>
        <w:t xml:space="preserve">V prípade </w:t>
      </w:r>
      <w:r w:rsidRPr="00F46ADB">
        <w:rPr>
          <w:b/>
          <w:lang w:val="sk-SK"/>
        </w:rPr>
        <w:t>tlakových/podtlakových kanalizačných systémov</w:t>
      </w:r>
      <w:r w:rsidRPr="00F46ADB">
        <w:rPr>
          <w:lang w:val="sk-SK"/>
        </w:rPr>
        <w:t xml:space="preserve"> je hodnota benchmarku stanovená bez ČOV, bez vodovodu v spoločnej ryhe, pre výstavbu (novobudovanú kanalizáciu), rozšírenie (dobudovanie kanalizácie) a zvýšenie kapacity (výmena kanalizácie z dôvodu zvyšovania priemeru potrubia). </w:t>
      </w:r>
    </w:p>
    <w:p w14:paraId="1ED8E4B1" w14:textId="77777777" w:rsidR="003C1822" w:rsidRPr="00B8046A" w:rsidRDefault="003C1822" w:rsidP="003C1822">
      <w:pPr>
        <w:pStyle w:val="Odsekzoznamu"/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Stanovená hodnota benchmarku zahŕňa nasledovné hlavné položky nákladov:</w:t>
      </w:r>
    </w:p>
    <w:p w14:paraId="1EE0275A" w14:textId="77777777" w:rsidR="003C1822" w:rsidRPr="003C1822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3C1822">
        <w:rPr>
          <w:szCs w:val="19"/>
          <w:lang w:val="sk-SK"/>
        </w:rPr>
        <w:t xml:space="preserve">dodávka a montáž kompletných tlakových/podtlakových kanalizačných systémov mimo budov menovitej svetlosti do DN 160 v súlade s STN EN 1091 a STN EN 1671, </w:t>
      </w:r>
    </w:p>
    <w:p w14:paraId="18526C08" w14:textId="045DAD11" w:rsidR="003C1822" w:rsidRPr="003C1822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>
        <w:rPr>
          <w:szCs w:val="19"/>
          <w:lang w:val="sk-SK"/>
        </w:rPr>
        <w:t>z</w:t>
      </w:r>
      <w:r w:rsidRPr="003C1822">
        <w:rPr>
          <w:szCs w:val="19"/>
          <w:lang w:val="sk-SK"/>
        </w:rPr>
        <w:t xml:space="preserve">emné práce/výkopové práce vrátane paženia, zásypy a obsypy pri triede ťažiteľnosti horniny I. až IV., vrátane príplatkov za lepivosť, </w:t>
      </w:r>
    </w:p>
    <w:p w14:paraId="2D073B8F" w14:textId="5C862DE2" w:rsidR="003C1822" w:rsidRPr="003C1822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3C1822">
        <w:rPr>
          <w:szCs w:val="19"/>
          <w:lang w:val="sk-SK"/>
        </w:rPr>
        <w:t xml:space="preserve">spätné úpravy v komunikácii, vrátane zriadenia podkladu a krytu vozovky zodpovedajúcej šírke ryhy a preplátovaniu 500 mm z oboch strán. </w:t>
      </w:r>
    </w:p>
    <w:p w14:paraId="3CE7ADDF" w14:textId="0CCE6649" w:rsidR="00E626AD" w:rsidRDefault="00E626AD" w:rsidP="00034306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lang w:val="sk-SK"/>
        </w:rPr>
      </w:pPr>
      <w:r w:rsidRPr="00F46ADB">
        <w:rPr>
          <w:lang w:val="sk-SK"/>
        </w:rPr>
        <w:t xml:space="preserve">Hodnota benchmarku na </w:t>
      </w:r>
      <w:r w:rsidRPr="00F46ADB">
        <w:rPr>
          <w:b/>
          <w:lang w:val="sk-SK"/>
        </w:rPr>
        <w:t xml:space="preserve">výstavbu a rozšírenie obecných verejných vodovodov </w:t>
      </w:r>
      <w:r>
        <w:rPr>
          <w:b/>
          <w:lang w:val="sk-SK"/>
        </w:rPr>
        <w:t>okrem</w:t>
      </w:r>
      <w:r w:rsidRPr="00F46ADB">
        <w:rPr>
          <w:b/>
          <w:lang w:val="sk-SK"/>
        </w:rPr>
        <w:t xml:space="preserve"> prípado</w:t>
      </w:r>
      <w:r>
        <w:rPr>
          <w:b/>
          <w:lang w:val="sk-SK"/>
        </w:rPr>
        <w:t>v</w:t>
      </w:r>
      <w:r w:rsidRPr="00F46ADB">
        <w:rPr>
          <w:b/>
          <w:lang w:val="sk-SK"/>
        </w:rPr>
        <w:t xml:space="preserve"> súbežnej výstavby verejnej kanalizácie</w:t>
      </w:r>
      <w:r w:rsidRPr="00F46ADB">
        <w:rPr>
          <w:lang w:val="sk-SK"/>
        </w:rPr>
        <w:t xml:space="preserve"> (gravitačnej, tlakovej) </w:t>
      </w:r>
      <w:r>
        <w:rPr>
          <w:lang w:val="sk-SK"/>
        </w:rPr>
        <w:t>je stanovená</w:t>
      </w:r>
      <w:r w:rsidR="00353759">
        <w:rPr>
          <w:lang w:val="sk-SK"/>
        </w:rPr>
        <w:t xml:space="preserve"> pre potrubie s priemerom DN </w:t>
      </w:r>
      <w:r w:rsidR="00644FC2">
        <w:rPr>
          <w:lang w:val="sk-SK"/>
        </w:rPr>
        <w:t>15</w:t>
      </w:r>
      <w:r w:rsidR="00353759">
        <w:rPr>
          <w:lang w:val="sk-SK"/>
        </w:rPr>
        <w:t>0.</w:t>
      </w:r>
    </w:p>
    <w:p w14:paraId="72FF9D84" w14:textId="77777777" w:rsidR="003C1822" w:rsidRPr="00B8046A" w:rsidRDefault="003C1822" w:rsidP="003C1822">
      <w:pPr>
        <w:pStyle w:val="Odsekzoznamu"/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Stanovená hodnota benchmarku zahŕňa nasledovné hlavné položky nákladov:</w:t>
      </w:r>
    </w:p>
    <w:p w14:paraId="534AC5C4" w14:textId="0589726B" w:rsidR="003C1822" w:rsidRPr="00B8046A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 xml:space="preserve">dodávka a montáž </w:t>
      </w:r>
      <w:r w:rsidR="005F15BD">
        <w:rPr>
          <w:szCs w:val="19"/>
          <w:lang w:val="sk-SK"/>
        </w:rPr>
        <w:t>vodovodného</w:t>
      </w:r>
      <w:r w:rsidR="005F15BD" w:rsidRPr="00B8046A">
        <w:rPr>
          <w:szCs w:val="19"/>
          <w:lang w:val="sk-SK"/>
        </w:rPr>
        <w:t xml:space="preserve"> </w:t>
      </w:r>
      <w:r w:rsidRPr="00B8046A">
        <w:rPr>
          <w:szCs w:val="19"/>
          <w:lang w:val="sk-SK"/>
        </w:rPr>
        <w:t xml:space="preserve">systému vybudovaného z </w:t>
      </w:r>
      <w:r>
        <w:rPr>
          <w:szCs w:val="19"/>
          <w:lang w:val="sk-SK"/>
        </w:rPr>
        <w:t>vodovodných</w:t>
      </w:r>
      <w:r w:rsidRPr="00B8046A">
        <w:rPr>
          <w:szCs w:val="19"/>
          <w:lang w:val="sk-SK"/>
        </w:rPr>
        <w:t xml:space="preserve"> potrubí s priemerom do DN </w:t>
      </w:r>
      <w:r w:rsidR="00644FC2">
        <w:rPr>
          <w:szCs w:val="19"/>
          <w:lang w:val="sk-SK"/>
        </w:rPr>
        <w:t>15</w:t>
      </w:r>
      <w:r w:rsidRPr="00B8046A">
        <w:rPr>
          <w:szCs w:val="19"/>
          <w:lang w:val="sk-SK"/>
        </w:rPr>
        <w:t>0 mm</w:t>
      </w:r>
      <w:r w:rsidR="00644FC2">
        <w:rPr>
          <w:szCs w:val="19"/>
          <w:lang w:val="sk-SK"/>
        </w:rPr>
        <w:t xml:space="preserve"> z materiálu PP, PVC</w:t>
      </w:r>
      <w:r w:rsidRPr="00B8046A">
        <w:rPr>
          <w:szCs w:val="19"/>
          <w:lang w:val="sk-SK"/>
        </w:rPr>
        <w:t>,</w:t>
      </w:r>
    </w:p>
    <w:p w14:paraId="53094DC5" w14:textId="77777777" w:rsidR="003C1822" w:rsidRPr="00B8046A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zemné práce/výkopové práce vrátane paženia, zásypy a obsypy pri triede ťažiteľnosti horniny I. až IV., vrátane príplatkov za lepivosť,</w:t>
      </w:r>
    </w:p>
    <w:p w14:paraId="26F95C9A" w14:textId="77777777" w:rsidR="003C1822" w:rsidRPr="00034306" w:rsidRDefault="003C1822" w:rsidP="003C1822">
      <w:pPr>
        <w:pStyle w:val="Odsekzoznamu"/>
        <w:numPr>
          <w:ilvl w:val="0"/>
          <w:numId w:val="50"/>
        </w:numPr>
        <w:spacing w:before="120" w:after="120" w:line="288" w:lineRule="auto"/>
        <w:jc w:val="both"/>
        <w:rPr>
          <w:szCs w:val="19"/>
          <w:lang w:val="sk-SK"/>
        </w:rPr>
      </w:pPr>
      <w:r w:rsidRPr="00B8046A">
        <w:rPr>
          <w:szCs w:val="19"/>
          <w:lang w:val="sk-SK"/>
        </w:rPr>
        <w:t>spätné úpravy v komunikácii, vrátane zriadenia podkladu a krytu vozovky zodpovedajúcej šírke ryhy a preplátovaniu 500 mm z oboch strán.</w:t>
      </w:r>
    </w:p>
    <w:p w14:paraId="5EF649ED" w14:textId="20412E77" w:rsidR="00034306" w:rsidRPr="00F46ADB" w:rsidRDefault="00034306" w:rsidP="00034306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lang w:val="sk-SK"/>
        </w:rPr>
      </w:pPr>
      <w:r w:rsidRPr="00F46ADB">
        <w:rPr>
          <w:lang w:val="sk-SK"/>
        </w:rPr>
        <w:t xml:space="preserve">Hodnota benchmarku na </w:t>
      </w:r>
      <w:r w:rsidRPr="00F46ADB">
        <w:rPr>
          <w:b/>
          <w:lang w:val="sk-SK"/>
        </w:rPr>
        <w:t>výstavbu a rozšírenie obecných verejných vodovodov v prípadoch súbežnej výstavby verejnej kanalizácie</w:t>
      </w:r>
      <w:r w:rsidRPr="00F46ADB">
        <w:rPr>
          <w:lang w:val="sk-SK"/>
        </w:rPr>
        <w:t xml:space="preserve"> (gravitačnej, tlakovej) je stanovená vo výške dodatočnej investičnej náročnosti 55 EUR/m vodovodu, ktorou bude navýšená výsledná hodnota benchmarku stanovená pre kanalizáciu (gravitačnú, tlakovú). </w:t>
      </w:r>
    </w:p>
    <w:p w14:paraId="68DB9632" w14:textId="186A640A" w:rsidR="005F15BD" w:rsidRPr="005F15BD" w:rsidRDefault="00034306" w:rsidP="005F15BD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lang w:val="sk-SK"/>
        </w:rPr>
      </w:pPr>
      <w:r w:rsidRPr="005F15BD">
        <w:rPr>
          <w:lang w:val="sk-SK"/>
        </w:rPr>
        <w:t xml:space="preserve">V prípade </w:t>
      </w:r>
      <w:r w:rsidRPr="005F15BD">
        <w:rPr>
          <w:b/>
          <w:lang w:val="sk-SK"/>
        </w:rPr>
        <w:t>ČOV</w:t>
      </w:r>
      <w:r w:rsidRPr="005F15BD">
        <w:rPr>
          <w:lang w:val="sk-SK"/>
        </w:rPr>
        <w:t xml:space="preserve"> je hodnota benchmarku stanovená iba pre novobudované ČOV.</w:t>
      </w:r>
      <w:r w:rsidR="005F15BD">
        <w:rPr>
          <w:lang w:val="sk-SK"/>
        </w:rPr>
        <w:t xml:space="preserve"> </w:t>
      </w:r>
      <w:r w:rsidR="005F15BD" w:rsidRPr="005F15BD">
        <w:rPr>
          <w:lang w:val="sk-SK"/>
        </w:rPr>
        <w:t xml:space="preserve">Stanovená hodnota benchmarku novej ČOV zahŕňa výstavbu novej ČOV pre čistenie splaškových a komunálnych odpadových vôd (v súlade so smernicou 91/271/EHS a jej príloh) vypúšťaných do povrchových vôd s účinnosťou linky čistenia zodpovedajúcou limitným hodnotám ukazovateľov znečistenia NV SR 269/2010 Z.z., Príloha č. 6 pre veľkosť zdroja znečistenia </w:t>
      </w:r>
      <w:r w:rsidR="005F15BD">
        <w:rPr>
          <w:lang w:val="sk-SK"/>
        </w:rPr>
        <w:t>do</w:t>
      </w:r>
      <w:r w:rsidR="005F15BD" w:rsidRPr="005F15BD">
        <w:rPr>
          <w:lang w:val="sk-SK"/>
        </w:rPr>
        <w:t xml:space="preserve"> 2 00</w:t>
      </w:r>
      <w:r w:rsidR="005F15BD">
        <w:rPr>
          <w:lang w:val="sk-SK"/>
        </w:rPr>
        <w:t>0</w:t>
      </w:r>
      <w:r w:rsidR="005F15BD" w:rsidRPr="005F15BD">
        <w:rPr>
          <w:lang w:val="sk-SK"/>
        </w:rPr>
        <w:t xml:space="preserve"> EO, pričom sa predpokladá aeróbna stabilizácia čistiarenského kalu.</w:t>
      </w:r>
    </w:p>
    <w:p w14:paraId="41D77452" w14:textId="48DFD651" w:rsidR="00353759" w:rsidRPr="00F46ADB" w:rsidRDefault="00353759" w:rsidP="00034306">
      <w:pPr>
        <w:pStyle w:val="Odsekzoznamu"/>
        <w:numPr>
          <w:ilvl w:val="0"/>
          <w:numId w:val="46"/>
        </w:numPr>
        <w:spacing w:before="120" w:after="120" w:line="288" w:lineRule="auto"/>
        <w:jc w:val="both"/>
        <w:rPr>
          <w:lang w:val="sk-SK"/>
        </w:rPr>
      </w:pPr>
      <w:r>
        <w:rPr>
          <w:rFonts w:asciiTheme="minorHAnsi" w:hAnsiTheme="minorHAnsi" w:cstheme="minorHAnsi"/>
          <w:szCs w:val="19"/>
          <w:lang w:val="sk-SK"/>
        </w:rPr>
        <w:t>V prípade rekonštrukcie</w:t>
      </w:r>
      <w:r w:rsidR="007D495A">
        <w:rPr>
          <w:rFonts w:asciiTheme="minorHAnsi" w:hAnsiTheme="minorHAnsi" w:cstheme="minorHAnsi"/>
          <w:szCs w:val="19"/>
          <w:lang w:val="sk-SK"/>
        </w:rPr>
        <w:t xml:space="preserve"> a intenzifikácie </w:t>
      </w:r>
      <w:r>
        <w:rPr>
          <w:rFonts w:asciiTheme="minorHAnsi" w:hAnsiTheme="minorHAnsi" w:cstheme="minorHAnsi"/>
          <w:szCs w:val="19"/>
          <w:lang w:val="sk-SK"/>
        </w:rPr>
        <w:t>existujúcich</w:t>
      </w:r>
      <w:r w:rsidR="007D495A">
        <w:rPr>
          <w:rFonts w:asciiTheme="minorHAnsi" w:hAnsiTheme="minorHAnsi" w:cstheme="minorHAnsi"/>
          <w:szCs w:val="19"/>
          <w:lang w:val="sk-SK"/>
        </w:rPr>
        <w:t xml:space="preserve"> a budovanie nových</w:t>
      </w:r>
      <w:r>
        <w:rPr>
          <w:rFonts w:asciiTheme="minorHAnsi" w:hAnsiTheme="minorHAnsi" w:cstheme="minorHAnsi"/>
          <w:szCs w:val="19"/>
          <w:lang w:val="sk-SK"/>
        </w:rPr>
        <w:t xml:space="preserve"> vodárenských zdrojov nie je hodnota benchmarku stanovená.</w:t>
      </w:r>
    </w:p>
    <w:p w14:paraId="06FF7E65" w14:textId="1095249E" w:rsidR="00034306" w:rsidRPr="00034306" w:rsidRDefault="00034306" w:rsidP="00034306">
      <w:pPr>
        <w:spacing w:before="120" w:after="120" w:line="288" w:lineRule="auto"/>
        <w:jc w:val="both"/>
        <w:rPr>
          <w:lang w:val="sk-SK"/>
        </w:rPr>
      </w:pPr>
      <w:r w:rsidRPr="00034306">
        <w:rPr>
          <w:lang w:val="sk-SK"/>
        </w:rPr>
        <w:t xml:space="preserve">RO pre IROP v priebehu programového obdobia je oprávnený aktualizovať referenčné hodnoty benchmarkov (napr. na základe štatisticky preukázateľného nárastu trhových cien). </w:t>
      </w:r>
    </w:p>
    <w:p w14:paraId="05B0BC14" w14:textId="4E2F5D97" w:rsidR="00034306" w:rsidRDefault="003C4477" w:rsidP="004809EB">
      <w:pPr>
        <w:spacing w:before="120" w:after="120" w:line="288" w:lineRule="auto"/>
        <w:jc w:val="both"/>
        <w:rPr>
          <w:lang w:val="sk-SK"/>
        </w:rPr>
      </w:pPr>
      <w:r w:rsidRPr="004809EB">
        <w:rPr>
          <w:lang w:val="sk-SK"/>
        </w:rPr>
        <w:lastRenderedPageBreak/>
        <w:t>Hodnota benchmarku projektu sa počíta ako pomer výšky celkových oprávnených výdavkov na hlavné aktivity projektu (očistené o výšku nepriamych výdavkov projektu, o výdavky na stavebný dozor, rezervy na nepredvídané výdavky a DPH) k cieľovej hodnote príslušného merateľného ukazovateľa projektu.</w:t>
      </w:r>
    </w:p>
    <w:p w14:paraId="6ECC7C43" w14:textId="5AD661B2" w:rsidR="004E7B9C" w:rsidRDefault="004E7B9C" w:rsidP="004809EB">
      <w:pPr>
        <w:spacing w:before="120" w:after="120" w:line="288" w:lineRule="auto"/>
        <w:jc w:val="both"/>
        <w:rPr>
          <w:lang w:val="sk-SK"/>
        </w:rPr>
      </w:pPr>
      <w:r w:rsidRPr="00691313">
        <w:rPr>
          <w:lang w:val="sk-SK"/>
        </w:rPr>
        <w:t>V prípade výdavkov, pri ktorých nie  je stanovený benchmark (nie je možné všeobecne stanoviť technické riešenie predmetnej aktivity) bude hospodárnosť a efektívnosť výdavkov posúdená v rámci odborného hodnotenia ŽoNFP.</w:t>
      </w:r>
    </w:p>
    <w:p w14:paraId="2304098A" w14:textId="77777777" w:rsidR="00644FC2" w:rsidRPr="0081151B" w:rsidRDefault="00644FC2" w:rsidP="004809EB">
      <w:pPr>
        <w:spacing w:before="120" w:after="120" w:line="288" w:lineRule="auto"/>
        <w:jc w:val="both"/>
        <w:rPr>
          <w:b/>
          <w:u w:val="single"/>
          <w:lang w:val="sk-SK"/>
        </w:rPr>
      </w:pPr>
      <w:r w:rsidRPr="0081151B">
        <w:rPr>
          <w:b/>
          <w:u w:val="single"/>
          <w:lang w:val="sk-SK"/>
        </w:rPr>
        <w:t>Upozornenie:</w:t>
      </w:r>
    </w:p>
    <w:p w14:paraId="20F42510" w14:textId="77777777" w:rsidR="0081151B" w:rsidRDefault="00644FC2" w:rsidP="0081151B">
      <w:pPr>
        <w:spacing w:before="120" w:after="120" w:line="288" w:lineRule="auto"/>
        <w:jc w:val="both"/>
        <w:rPr>
          <w:szCs w:val="19"/>
          <w:lang w:val="sk-SK"/>
        </w:rPr>
      </w:pPr>
      <w:r w:rsidRPr="00644FC2">
        <w:rPr>
          <w:b/>
          <w:szCs w:val="19"/>
          <w:lang w:val="sk-SK"/>
        </w:rPr>
        <w:t>Pri výpočte hodnoty benchmarku je potrebné vychádzať výlučne z celkových oprávnených výdavkov hlavných aktivít projektu znížených o DPH, rezervu na nepredvídané výdavky a výdavky na stavebný dozor</w:t>
      </w:r>
      <w:r w:rsidR="00580816">
        <w:rPr>
          <w:b/>
          <w:szCs w:val="19"/>
          <w:lang w:val="sk-SK"/>
        </w:rPr>
        <w:t xml:space="preserve"> a nepriame výdavky projektu</w:t>
      </w:r>
      <w:r w:rsidRPr="00644FC2">
        <w:rPr>
          <w:b/>
          <w:szCs w:val="19"/>
          <w:lang w:val="sk-SK"/>
        </w:rPr>
        <w:t>.</w:t>
      </w:r>
      <w:r>
        <w:rPr>
          <w:b/>
          <w:szCs w:val="19"/>
          <w:lang w:val="sk-SK"/>
        </w:rPr>
        <w:t xml:space="preserve"> </w:t>
      </w:r>
      <w:r w:rsidRPr="00644FC2">
        <w:rPr>
          <w:szCs w:val="19"/>
          <w:lang w:val="sk-SK"/>
        </w:rPr>
        <w:t xml:space="preserve">Do výpočtu hodnoty benchmarku vstupujú celkové oprávnené výdavky na hlavné aktivity projektu bez zohľadnenia čistého príjmu z projektu. </w:t>
      </w:r>
      <w:r w:rsidR="0081151B" w:rsidRPr="00644FC2">
        <w:rPr>
          <w:szCs w:val="19"/>
          <w:lang w:val="sk-SK"/>
        </w:rPr>
        <w:t>Jednotlivé vstupy do výpočtu benchmarku musia byť v súlade s relevantnými údajmi uvedenými v ŽoNFP vrátane jej príloh.</w:t>
      </w:r>
    </w:p>
    <w:p w14:paraId="7D870E0F" w14:textId="0A832BD8" w:rsidR="00580816" w:rsidRDefault="00580816" w:rsidP="00FF2AFF">
      <w:pPr>
        <w:spacing w:before="120" w:after="120" w:line="288" w:lineRule="auto"/>
        <w:jc w:val="both"/>
        <w:rPr>
          <w:szCs w:val="19"/>
          <w:lang w:val="sk-SK"/>
        </w:rPr>
      </w:pPr>
      <w:r w:rsidRPr="00644FC2">
        <w:rPr>
          <w:szCs w:val="19"/>
          <w:lang w:val="sk-SK"/>
        </w:rPr>
        <w:t xml:space="preserve">Prekročenie referenčnej hodnoty benchmarku bez relevantného a overiteľného odôvodnenia bude vyhodnotené ako nesplnenie hodnotiaceho kritéria 4.2 </w:t>
      </w:r>
      <w:r>
        <w:rPr>
          <w:szCs w:val="19"/>
          <w:lang w:val="sk-SK"/>
        </w:rPr>
        <w:t>E</w:t>
      </w:r>
      <w:r w:rsidRPr="00644FC2">
        <w:rPr>
          <w:szCs w:val="19"/>
          <w:lang w:val="sk-SK"/>
        </w:rPr>
        <w:t>fektívnosť</w:t>
      </w:r>
      <w:r>
        <w:rPr>
          <w:szCs w:val="19"/>
          <w:lang w:val="sk-SK"/>
        </w:rPr>
        <w:t xml:space="preserve"> a hospodárnosť</w:t>
      </w:r>
      <w:r w:rsidRPr="00644FC2">
        <w:rPr>
          <w:szCs w:val="19"/>
          <w:lang w:val="sk-SK"/>
        </w:rPr>
        <w:t xml:space="preserve"> výdavkov projektu, v dôsledku čoho bude projekt neschválený.  </w:t>
      </w:r>
    </w:p>
    <w:p w14:paraId="6BA93D29" w14:textId="4531EC08" w:rsidR="00644FC2" w:rsidRDefault="00580816" w:rsidP="00FF2AFF">
      <w:pPr>
        <w:spacing w:before="120" w:after="120" w:line="288" w:lineRule="auto"/>
        <w:jc w:val="both"/>
        <w:rPr>
          <w:szCs w:val="19"/>
          <w:lang w:val="sk-SK"/>
        </w:rPr>
      </w:pPr>
      <w:r w:rsidRPr="00580816">
        <w:rPr>
          <w:szCs w:val="19"/>
          <w:lang w:val="sk-SK"/>
        </w:rPr>
        <w:t xml:space="preserve">V prípade prekročenia stanovenej referenčnej hodnoty benchmarku Poskytovateľ posúdi skutočné podmienky realizácie projektu voči zadefinovaným podmienkam a posúdi zdôvodnenie vyšších investičných nákladov na základe </w:t>
      </w:r>
      <w:r>
        <w:rPr>
          <w:szCs w:val="19"/>
          <w:lang w:val="sk-SK"/>
        </w:rPr>
        <w:t>objektívnych prípado</w:t>
      </w:r>
      <w:r w:rsidR="000B5757">
        <w:rPr>
          <w:szCs w:val="19"/>
          <w:lang w:val="sk-SK"/>
        </w:rPr>
        <w:t>v</w:t>
      </w:r>
      <w:r>
        <w:rPr>
          <w:szCs w:val="19"/>
          <w:lang w:val="sk-SK"/>
        </w:rPr>
        <w:t xml:space="preserve"> vyplývajúcich zo stavebno-technických, technologických, prírodných alebo iných špecifík</w:t>
      </w:r>
      <w:r w:rsidRPr="00580816">
        <w:rPr>
          <w:szCs w:val="19"/>
          <w:lang w:val="sk-SK"/>
        </w:rPr>
        <w:t xml:space="preserve"> pre daný projekt. To znamená, že Poskytovateľ posúdi, či toto prekročenie zodpovedá navrhnutému riešeniu</w:t>
      </w:r>
      <w:r w:rsidR="000B5757">
        <w:rPr>
          <w:szCs w:val="19"/>
          <w:lang w:val="sk-SK"/>
        </w:rPr>
        <w:t xml:space="preserve"> a daným špecifikám</w:t>
      </w:r>
      <w:r w:rsidRPr="00580816">
        <w:rPr>
          <w:szCs w:val="19"/>
          <w:lang w:val="sk-SK"/>
        </w:rPr>
        <w:t>. Výdavky nad referenčnú hodnotu benchmarku budú akceptované ako oprávnené iba v odôvo</w:t>
      </w:r>
      <w:r w:rsidR="000B5757">
        <w:rPr>
          <w:szCs w:val="19"/>
          <w:lang w:val="sk-SK"/>
        </w:rPr>
        <w:t xml:space="preserve">dnených objektívnych prípadoch. </w:t>
      </w:r>
    </w:p>
    <w:p w14:paraId="2512FA62" w14:textId="77777777" w:rsidR="0081151B" w:rsidRDefault="0081151B" w:rsidP="0081151B">
      <w:pPr>
        <w:spacing w:before="120" w:after="120" w:line="288" w:lineRule="auto"/>
        <w:jc w:val="both"/>
        <w:rPr>
          <w:szCs w:val="19"/>
          <w:lang w:val="sk-SK"/>
        </w:rPr>
      </w:pPr>
      <w:r w:rsidRPr="00644FC2">
        <w:rPr>
          <w:szCs w:val="19"/>
          <w:lang w:val="sk-SK"/>
        </w:rPr>
        <w:t xml:space="preserve">Pri posudzovaní hodnoty benchmarku sa berie do úvahy výška výdavkov hlavných aktivít projektu po ich prípadnom znížení v procese schvaľovania projektu z dôvodu identifikácie vecne neoprávnených, neúčelných alebo nehospodárnych výdavkov.  </w:t>
      </w:r>
    </w:p>
    <w:p w14:paraId="4F6BFA0D" w14:textId="203604A7" w:rsidR="00644FC2" w:rsidRPr="004809EB" w:rsidRDefault="00644FC2" w:rsidP="00FF2AFF">
      <w:pPr>
        <w:spacing w:before="120" w:after="120" w:line="288" w:lineRule="auto"/>
        <w:jc w:val="both"/>
        <w:rPr>
          <w:lang w:val="sk-SK"/>
        </w:rPr>
      </w:pPr>
      <w:r w:rsidRPr="00691313">
        <w:rPr>
          <w:lang w:val="sk-SK"/>
        </w:rPr>
        <w:t>V</w:t>
      </w:r>
      <w:r>
        <w:rPr>
          <w:lang w:val="sk-SK"/>
        </w:rPr>
        <w:t xml:space="preserve"> </w:t>
      </w:r>
      <w:r w:rsidRPr="00691313">
        <w:rPr>
          <w:lang w:val="sk-SK"/>
        </w:rPr>
        <w:t xml:space="preserve">prípade identifikácie neoprávnených výdavkov projektu z dôvodu vecnej neoprávnenosti alebo neúčelnosti Poskytovateľ v procese odborného hodnotenia zníži výšku celkových oprávnených výdavkov projektu o identifikované neoprávnené výdavky, ktoré nebudú z </w:t>
      </w:r>
      <w:r>
        <w:rPr>
          <w:lang w:val="sk-SK"/>
        </w:rPr>
        <w:t>IROP</w:t>
      </w:r>
      <w:r w:rsidRPr="00691313">
        <w:rPr>
          <w:lang w:val="sk-SK"/>
        </w:rPr>
        <w:t xml:space="preserve"> financované. V prípade, ak Posk</w:t>
      </w:r>
      <w:r>
        <w:rPr>
          <w:lang w:val="sk-SK"/>
        </w:rPr>
        <w:t xml:space="preserve">ytovateľ identifikuje </w:t>
      </w:r>
      <w:r w:rsidRPr="00691313">
        <w:rPr>
          <w:b/>
          <w:lang w:val="sk-SK"/>
        </w:rPr>
        <w:t>viac ako 30 %</w:t>
      </w:r>
      <w:r w:rsidRPr="00691313">
        <w:rPr>
          <w:lang w:val="sk-SK"/>
        </w:rPr>
        <w:t xml:space="preserve"> finančnej hodnoty žiadateľom definovaných celkových oprávnených výdavkov projektu ako vecne neoprávnených a/alebo neúčelných, </w:t>
      </w:r>
      <w:r w:rsidR="000B5757">
        <w:rPr>
          <w:lang w:val="sk-SK"/>
        </w:rPr>
        <w:t xml:space="preserve">bude </w:t>
      </w:r>
      <w:r w:rsidR="00B72213">
        <w:rPr>
          <w:lang w:val="sk-SK"/>
        </w:rPr>
        <w:t xml:space="preserve">to </w:t>
      </w:r>
      <w:r w:rsidR="000B5757" w:rsidRPr="00644FC2">
        <w:rPr>
          <w:szCs w:val="19"/>
          <w:lang w:val="sk-SK"/>
        </w:rPr>
        <w:t>vyhodnotené ako nesplnenie hodnotiaceho kritéria 4.</w:t>
      </w:r>
      <w:r w:rsidR="000B5757">
        <w:rPr>
          <w:szCs w:val="19"/>
          <w:lang w:val="sk-SK"/>
        </w:rPr>
        <w:t xml:space="preserve">1 Vecná oprávnenosť výdavkov projektu – obsahová oprávnenosť, účelnosť a účinnosť, </w:t>
      </w:r>
      <w:r w:rsidR="000B5757" w:rsidRPr="00644FC2">
        <w:rPr>
          <w:szCs w:val="19"/>
          <w:lang w:val="sk-SK"/>
        </w:rPr>
        <w:t>v dôsledku čoho bude projekt neschválený</w:t>
      </w:r>
      <w:r w:rsidRPr="00691313">
        <w:rPr>
          <w:lang w:val="sk-SK"/>
        </w:rPr>
        <w:t>.</w:t>
      </w:r>
    </w:p>
    <w:p w14:paraId="245E4439" w14:textId="77777777" w:rsidR="00644FC2" w:rsidRDefault="00644FC2" w:rsidP="003C4477">
      <w:pPr>
        <w:jc w:val="both"/>
        <w:rPr>
          <w:szCs w:val="19"/>
          <w:lang w:val="sk-SK"/>
        </w:rPr>
      </w:pPr>
    </w:p>
    <w:p w14:paraId="75C1588D" w14:textId="39972C12" w:rsidR="00345C3A" w:rsidRDefault="00345C3A">
      <w:pPr>
        <w:rPr>
          <w:b/>
          <w:color w:val="002776" w:themeColor="text2"/>
          <w:sz w:val="24"/>
          <w:szCs w:val="16"/>
          <w:lang w:val="sk-SK"/>
        </w:rPr>
      </w:pPr>
    </w:p>
    <w:p w14:paraId="5B29557F" w14:textId="4A3531B9" w:rsidR="001C66D8" w:rsidRDefault="001C66D8" w:rsidP="001C66D8">
      <w:pPr>
        <w:spacing w:after="60" w:line="288" w:lineRule="auto"/>
        <w:jc w:val="center"/>
        <w:rPr>
          <w:b/>
          <w:color w:val="002776" w:themeColor="text2"/>
          <w:sz w:val="24"/>
          <w:szCs w:val="16"/>
          <w:lang w:val="sk-SK"/>
        </w:rPr>
      </w:pPr>
      <w:r>
        <w:rPr>
          <w:b/>
          <w:color w:val="002776" w:themeColor="text2"/>
          <w:sz w:val="24"/>
          <w:szCs w:val="16"/>
          <w:lang w:val="sk-SK"/>
        </w:rPr>
        <w:t>Ne</w:t>
      </w:r>
      <w:r w:rsidRPr="005C4BFE">
        <w:rPr>
          <w:b/>
          <w:color w:val="002776" w:themeColor="text2"/>
          <w:sz w:val="24"/>
          <w:szCs w:val="16"/>
          <w:lang w:val="sk-SK"/>
        </w:rPr>
        <w:t>oprávnen</w:t>
      </w:r>
      <w:r>
        <w:rPr>
          <w:b/>
          <w:color w:val="002776" w:themeColor="text2"/>
          <w:sz w:val="24"/>
          <w:szCs w:val="16"/>
          <w:lang w:val="sk-SK"/>
        </w:rPr>
        <w:t>é</w:t>
      </w:r>
      <w:r w:rsidRPr="005C4BFE">
        <w:rPr>
          <w:b/>
          <w:color w:val="002776" w:themeColor="text2"/>
          <w:sz w:val="24"/>
          <w:szCs w:val="16"/>
          <w:lang w:val="sk-SK"/>
        </w:rPr>
        <w:t xml:space="preserve"> výdavk</w:t>
      </w:r>
      <w:r>
        <w:rPr>
          <w:b/>
          <w:color w:val="002776" w:themeColor="text2"/>
          <w:sz w:val="24"/>
          <w:szCs w:val="16"/>
          <w:lang w:val="sk-SK"/>
        </w:rPr>
        <w:t>y</w:t>
      </w:r>
    </w:p>
    <w:p w14:paraId="5BC1BDE1" w14:textId="77777777" w:rsidR="001C66D8" w:rsidRDefault="001C66D8" w:rsidP="001C66D8">
      <w:pPr>
        <w:spacing w:before="120" w:after="120" w:line="288" w:lineRule="auto"/>
        <w:jc w:val="center"/>
        <w:rPr>
          <w:rFonts w:cs="Arial"/>
          <w:b/>
          <w:color w:val="000000" w:themeColor="text1"/>
          <w:szCs w:val="19"/>
          <w:lang w:val="sk-SK"/>
        </w:rPr>
      </w:pPr>
    </w:p>
    <w:p w14:paraId="329E4B4A" w14:textId="77777777" w:rsidR="001C66D8" w:rsidRPr="0016059A" w:rsidRDefault="001C66D8" w:rsidP="001C66D8">
      <w:pPr>
        <w:spacing w:before="120" w:after="120" w:line="288" w:lineRule="auto"/>
        <w:jc w:val="both"/>
        <w:rPr>
          <w:rFonts w:cs="Arial"/>
          <w:b/>
          <w:color w:val="000000" w:themeColor="text1"/>
          <w:szCs w:val="19"/>
          <w:lang w:val="sk-SK"/>
        </w:rPr>
      </w:pPr>
      <w:r w:rsidRPr="0016059A">
        <w:rPr>
          <w:rFonts w:cs="Arial"/>
          <w:b/>
          <w:color w:val="000000" w:themeColor="text1"/>
          <w:szCs w:val="19"/>
          <w:lang w:val="sk-SK"/>
        </w:rPr>
        <w:t xml:space="preserve">Neoprávnené výdavky uvedené v tomto odseku bude poskytovateľ </w:t>
      </w:r>
      <w:r w:rsidRPr="0016059A">
        <w:rPr>
          <w:rFonts w:cs="Arial"/>
          <w:b/>
          <w:color w:val="000000" w:themeColor="text1"/>
          <w:szCs w:val="19"/>
          <w:u w:val="single"/>
          <w:lang w:val="sk-SK"/>
        </w:rPr>
        <w:t>vždy</w:t>
      </w:r>
      <w:r w:rsidRPr="0016059A">
        <w:rPr>
          <w:rFonts w:cs="Arial"/>
          <w:b/>
          <w:color w:val="000000" w:themeColor="text1"/>
          <w:szCs w:val="19"/>
          <w:lang w:val="sk-SK"/>
        </w:rPr>
        <w:t xml:space="preserve"> považovať za neoprávnené bez ohľadu na ich vzťah k cieľom a charakteru projektu. </w:t>
      </w:r>
    </w:p>
    <w:p w14:paraId="0D120CB3" w14:textId="6536B8F6" w:rsidR="001C66D8" w:rsidRPr="0016059A" w:rsidRDefault="001C66D8" w:rsidP="001C66D8">
      <w:pPr>
        <w:spacing w:before="120" w:after="120" w:line="288" w:lineRule="auto"/>
        <w:jc w:val="both"/>
        <w:rPr>
          <w:rFonts w:eastAsiaTheme="minorHAnsi" w:cs="Arial"/>
          <w:color w:val="000000" w:themeColor="text1"/>
          <w:szCs w:val="19"/>
          <w:lang w:val="sk-SK"/>
        </w:rPr>
      </w:pPr>
      <w:r w:rsidRPr="0016059A">
        <w:rPr>
          <w:rFonts w:eastAsiaTheme="minorHAnsi" w:cs="Arial"/>
          <w:color w:val="000000" w:themeColor="text1"/>
          <w:szCs w:val="19"/>
          <w:lang w:val="sk-SK"/>
        </w:rPr>
        <w:t>V</w:t>
      </w:r>
      <w:r w:rsidR="00691313">
        <w:rPr>
          <w:rFonts w:eastAsiaTheme="minorHAnsi" w:cs="Arial"/>
          <w:color w:val="000000" w:themeColor="text1"/>
          <w:szCs w:val="19"/>
          <w:lang w:val="sk-SK"/>
        </w:rPr>
        <w:t> rámci výzvy</w:t>
      </w:r>
      <w:r w:rsidR="00BF2C11">
        <w:rPr>
          <w:rFonts w:eastAsiaTheme="minorHAnsi" w:cs="Arial"/>
          <w:color w:val="000000" w:themeColor="text1"/>
          <w:szCs w:val="19"/>
          <w:lang w:val="sk-SK"/>
        </w:rPr>
        <w:t xml:space="preserve"> </w:t>
      </w:r>
      <w:r w:rsidR="00BF2C11" w:rsidRPr="00BF2C11">
        <w:rPr>
          <w:rFonts w:eastAsiaTheme="minorHAnsi" w:cs="Arial"/>
          <w:color w:val="000000" w:themeColor="text1"/>
          <w:szCs w:val="19"/>
          <w:lang w:val="sk-SK"/>
        </w:rPr>
        <w:t>IROP-PO4-SC421-2016-2</w:t>
      </w:r>
      <w:r w:rsidRPr="0016059A">
        <w:rPr>
          <w:rFonts w:eastAsiaTheme="minorHAnsi" w:cs="Arial"/>
          <w:color w:val="000000" w:themeColor="text1"/>
          <w:szCs w:val="19"/>
          <w:lang w:val="sk-SK"/>
        </w:rPr>
        <w:t xml:space="preserve"> sa za neoprávnené považujú nasledovné výdavky:</w:t>
      </w:r>
    </w:p>
    <w:p w14:paraId="3FDC4D4D" w14:textId="77777777" w:rsidR="00E4786F" w:rsidRPr="00E4786F" w:rsidRDefault="00E4786F" w:rsidP="00E4786F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E4786F">
        <w:rPr>
          <w:rFonts w:cs="Arial"/>
          <w:lang w:val="sk-SK"/>
        </w:rPr>
        <w:t xml:space="preserve">výdavky na individuálne čistenie odpadových vôd realizované v rámci nehnuteľností fyzických osôb vrátane výdavkov na odvoz odpadových vôd; </w:t>
      </w:r>
    </w:p>
    <w:p w14:paraId="018E650F" w14:textId="2CB2AA2B" w:rsidR="00E4786F" w:rsidRPr="00E4786F" w:rsidRDefault="00E4786F" w:rsidP="00E4786F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E4786F">
        <w:rPr>
          <w:rFonts w:cs="Arial"/>
          <w:lang w:val="sk-SK"/>
        </w:rPr>
        <w:t xml:space="preserve">výdavky na obnovu ostatných inžinierskych sietí z dôvodu ich nevyhovujúceho technického stavu; </w:t>
      </w:r>
    </w:p>
    <w:p w14:paraId="5A927C29" w14:textId="282AE528" w:rsidR="00E4786F" w:rsidRPr="00E4786F" w:rsidRDefault="00E4786F" w:rsidP="00E4786F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E4786F">
        <w:rPr>
          <w:rFonts w:cs="Arial"/>
          <w:lang w:val="sk-SK"/>
        </w:rPr>
        <w:t xml:space="preserve">výdavky na prevádzku vodohospodárskej infraštruktúry vrátane skúšobnej prevádzky; </w:t>
      </w:r>
    </w:p>
    <w:p w14:paraId="10A5EE2D" w14:textId="2DDC1459" w:rsidR="00E4786F" w:rsidRPr="00E4786F" w:rsidRDefault="00E4786F" w:rsidP="00E4786F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E4786F">
        <w:rPr>
          <w:rFonts w:cs="Arial"/>
          <w:lang w:val="sk-SK"/>
        </w:rPr>
        <w:t>výdavky na výstavbu dažďovej kanalizáci</w:t>
      </w:r>
      <w:r>
        <w:rPr>
          <w:rFonts w:cs="Arial"/>
          <w:lang w:val="sk-SK"/>
        </w:rPr>
        <w:t>e;</w:t>
      </w:r>
    </w:p>
    <w:p w14:paraId="3FB38310" w14:textId="48AEE221" w:rsidR="001C66D8" w:rsidRPr="00A6654F" w:rsidRDefault="001C66D8" w:rsidP="00E4786F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výdavky, ktoré nespĺňajú kritériá vecnej oprávnenosti, časovej oprávnenosti a územnej oprávnenosti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64B7D29A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výdavky, ktoré nie je možné zaradiť medzi oprávnené v zmysle číselníka oprávnených výdavkov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7B175D52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 xml:space="preserve">výdavky, ktoré nespĺňajú kritériá </w:t>
      </w:r>
      <w:bookmarkStart w:id="0" w:name="_GoBack"/>
      <w:bookmarkEnd w:id="0"/>
      <w:r w:rsidRPr="00A6654F">
        <w:rPr>
          <w:rFonts w:cs="Arial"/>
          <w:lang w:val="sk-SK"/>
        </w:rPr>
        <w:t>hospodárnosti, efektívnosti, účelnosti a účinnosti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4A640AE6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lastRenderedPageBreak/>
        <w:t>výdavky, ktoré neboli obstarané v zmysle zákona 25/2006 Z. z. o verejnom obstarávaní (vzťahuje sa na výdavky, ktoré budú realizované dodávateľsky (uskutočnenie stavebných prác, dodanie tovarov, poskytnutie služieb)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7B02F9FC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hotovostné platby zahŕňaj</w:t>
      </w:r>
      <w:r w:rsidRPr="00A6654F">
        <w:rPr>
          <w:rFonts w:eastAsia="Calibri" w:cs="Arial"/>
          <w:lang w:val="sk-SK"/>
        </w:rPr>
        <w:t>ú</w:t>
      </w:r>
      <w:r w:rsidRPr="00A6654F">
        <w:rPr>
          <w:rFonts w:cs="Arial"/>
          <w:lang w:val="sk-SK"/>
        </w:rPr>
        <w:t>ce v</w:t>
      </w:r>
      <w:r w:rsidRPr="00A6654F">
        <w:rPr>
          <w:rFonts w:eastAsia="Calibri" w:cs="Arial"/>
          <w:lang w:val="sk-SK"/>
        </w:rPr>
        <w:t>ýd</w:t>
      </w:r>
      <w:r w:rsidRPr="00A6654F">
        <w:rPr>
          <w:rFonts w:cs="Arial"/>
          <w:lang w:val="sk-SK"/>
        </w:rPr>
        <w:t>avky na obstaranie dlhodob</w:t>
      </w:r>
      <w:r w:rsidRPr="00A6654F">
        <w:rPr>
          <w:rFonts w:eastAsia="Calibri" w:cs="Arial"/>
          <w:lang w:val="sk-SK"/>
        </w:rPr>
        <w:t>éh</w:t>
      </w:r>
      <w:r w:rsidRPr="00A6654F">
        <w:rPr>
          <w:rFonts w:cs="Arial"/>
          <w:lang w:val="sk-SK"/>
        </w:rPr>
        <w:t>o hmotn</w:t>
      </w:r>
      <w:r w:rsidRPr="00A6654F">
        <w:rPr>
          <w:rFonts w:eastAsia="Calibri" w:cs="Arial"/>
          <w:lang w:val="sk-SK"/>
        </w:rPr>
        <w:t>éh</w:t>
      </w:r>
      <w:r w:rsidRPr="00A6654F">
        <w:rPr>
          <w:rFonts w:cs="Arial"/>
          <w:lang w:val="sk-SK"/>
        </w:rPr>
        <w:t>o a nehmotn</w:t>
      </w:r>
      <w:r w:rsidRPr="00A6654F">
        <w:rPr>
          <w:rFonts w:eastAsia="Calibri" w:cs="Arial"/>
          <w:lang w:val="sk-SK"/>
        </w:rPr>
        <w:t>éh</w:t>
      </w:r>
      <w:r w:rsidRPr="00A6654F">
        <w:rPr>
          <w:rFonts w:cs="Arial"/>
          <w:lang w:val="sk-SK"/>
        </w:rPr>
        <w:t>o majetku, vr</w:t>
      </w:r>
      <w:r w:rsidRPr="00A6654F">
        <w:rPr>
          <w:rFonts w:eastAsia="Calibri" w:cs="Arial"/>
          <w:lang w:val="sk-SK"/>
        </w:rPr>
        <w:t>át</w:t>
      </w:r>
      <w:r w:rsidRPr="00A6654F">
        <w:rPr>
          <w:rFonts w:cs="Arial"/>
          <w:lang w:val="sk-SK"/>
        </w:rPr>
        <w:t>ane v</w:t>
      </w:r>
      <w:r w:rsidRPr="00A6654F">
        <w:rPr>
          <w:rFonts w:eastAsia="Calibri" w:cs="Arial"/>
          <w:lang w:val="sk-SK"/>
        </w:rPr>
        <w:t>ýd</w:t>
      </w:r>
      <w:r w:rsidRPr="00A6654F">
        <w:rPr>
          <w:rFonts w:cs="Arial"/>
          <w:lang w:val="sk-SK"/>
        </w:rPr>
        <w:t>avkov s</w:t>
      </w:r>
      <w:r w:rsidRPr="00A6654F">
        <w:rPr>
          <w:rFonts w:eastAsia="Calibri" w:cs="Arial"/>
          <w:lang w:val="sk-SK"/>
        </w:rPr>
        <w:t>úv</w:t>
      </w:r>
      <w:r w:rsidRPr="00A6654F">
        <w:rPr>
          <w:rFonts w:cs="Arial"/>
          <w:lang w:val="sk-SK"/>
        </w:rPr>
        <w:t>isiacich s obstaran</w:t>
      </w:r>
      <w:r w:rsidRPr="00A6654F">
        <w:rPr>
          <w:rFonts w:eastAsia="Calibri" w:cs="Arial"/>
          <w:lang w:val="sk-SK"/>
        </w:rPr>
        <w:t>ím</w:t>
      </w:r>
      <w:r w:rsidRPr="00A6654F">
        <w:rPr>
          <w:rFonts w:cs="Arial"/>
          <w:lang w:val="sk-SK"/>
        </w:rPr>
        <w:t xml:space="preserve"> tohto majetku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3C3D2FFC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výdavky hradené v hotovosti, pri ktorej hodnota úhrady prevy</w:t>
      </w:r>
      <w:r w:rsidRPr="00A6654F">
        <w:rPr>
          <w:rFonts w:eastAsia="Calibri" w:cs="Arial"/>
          <w:lang w:val="sk-SK"/>
        </w:rPr>
        <w:t>šu</w:t>
      </w:r>
      <w:r w:rsidRPr="00A6654F">
        <w:rPr>
          <w:rFonts w:cs="Arial"/>
          <w:lang w:val="sk-SK"/>
        </w:rPr>
        <w:t>je 5 000 EUR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12669EB5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akákoľvek časť výdavkov, ktorou by sa prekročila maximálna intenzita pomoci, alebo stanovené finančné limity a benchmarky</w:t>
      </w:r>
      <w:r w:rsidRPr="00A6654F">
        <w:rPr>
          <w:rStyle w:val="Odkaznapoznmkupodiarou"/>
          <w:rFonts w:cs="Arial"/>
          <w:lang w:val="sk-SK"/>
        </w:rPr>
        <w:footnoteReference w:id="5"/>
      </w:r>
      <w:r w:rsidRPr="00A6654F">
        <w:rPr>
          <w:rFonts w:cs="Arial"/>
          <w:lang w:val="sk-SK"/>
        </w:rPr>
        <w:t>;</w:t>
      </w:r>
    </w:p>
    <w:p w14:paraId="05E33629" w14:textId="7BFBECF4" w:rsidR="001C66D8" w:rsidRPr="00345C3A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lang w:val="sk-SK"/>
        </w:rPr>
      </w:pPr>
      <w:r w:rsidRPr="00A6654F">
        <w:rPr>
          <w:rFonts w:eastAsiaTheme="minorHAnsi" w:cs="Arial"/>
          <w:color w:val="000000"/>
          <w:lang w:val="sk-SK"/>
        </w:rPr>
        <w:t>nákup pozemkov vo výške nad 10% celkových oprávnených výdavkov projektu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0ABE55EA" w14:textId="42F29C7E" w:rsidR="001C66D8" w:rsidRPr="00345C3A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lang w:val="sk-SK"/>
        </w:rPr>
      </w:pPr>
      <w:r>
        <w:rPr>
          <w:rFonts w:eastAsiaTheme="minorHAnsi" w:cs="Arial"/>
          <w:color w:val="000000" w:themeColor="text1"/>
          <w:lang w:val="sk-SK"/>
        </w:rPr>
        <w:t>nákup stavieb;</w:t>
      </w:r>
    </w:p>
    <w:p w14:paraId="5026E8E2" w14:textId="202BEC50" w:rsidR="001C66D8" w:rsidRPr="00345C3A" w:rsidRDefault="00B44777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>
        <w:rPr>
          <w:rFonts w:cs="Arial"/>
          <w:color w:val="000000" w:themeColor="text1"/>
          <w:szCs w:val="19"/>
          <w:lang w:val="sk-SK"/>
        </w:rPr>
        <w:t>v</w:t>
      </w:r>
      <w:r w:rsidR="001C66D8" w:rsidRPr="0016059A">
        <w:rPr>
          <w:rFonts w:cs="Arial"/>
          <w:color w:val="000000" w:themeColor="text1"/>
          <w:szCs w:val="19"/>
          <w:lang w:val="sk-SK"/>
        </w:rPr>
        <w:t xml:space="preserve">ýdavky na výkon služieb stavebného dozoru </w:t>
      </w:r>
      <w:r w:rsidR="001C66D8" w:rsidRPr="0016059A">
        <w:rPr>
          <w:rFonts w:cs="Arial"/>
          <w:bCs/>
          <w:color w:val="000000" w:themeColor="text1"/>
          <w:szCs w:val="19"/>
          <w:lang w:val="sk-SK"/>
        </w:rPr>
        <w:t xml:space="preserve">presahujúce výšku 2,0 % z </w:t>
      </w:r>
      <w:r w:rsidR="001C66D8">
        <w:rPr>
          <w:rFonts w:cs="Arial"/>
          <w:bCs/>
          <w:color w:val="000000" w:themeColor="text1"/>
          <w:szCs w:val="19"/>
          <w:lang w:val="sk-SK"/>
        </w:rPr>
        <w:t>celkových</w:t>
      </w:r>
      <w:r w:rsidR="001C66D8" w:rsidRPr="0016059A">
        <w:rPr>
          <w:rFonts w:cs="Arial"/>
          <w:bCs/>
          <w:color w:val="000000" w:themeColor="text1"/>
          <w:szCs w:val="19"/>
          <w:lang w:val="sk-SK"/>
        </w:rPr>
        <w:t xml:space="preserve"> oprávnených</w:t>
      </w:r>
      <w:r w:rsidR="001C66D8">
        <w:rPr>
          <w:rFonts w:cs="Arial"/>
          <w:bCs/>
          <w:color w:val="000000" w:themeColor="text1"/>
          <w:szCs w:val="19"/>
          <w:lang w:val="sk-SK"/>
        </w:rPr>
        <w:t xml:space="preserve"> výdavkov na</w:t>
      </w:r>
      <w:r w:rsidR="001C66D8" w:rsidRPr="0016059A">
        <w:rPr>
          <w:rFonts w:cs="Arial"/>
          <w:bCs/>
          <w:color w:val="000000" w:themeColor="text1"/>
          <w:szCs w:val="19"/>
          <w:lang w:val="sk-SK"/>
        </w:rPr>
        <w:t xml:space="preserve"> stavebn</w:t>
      </w:r>
      <w:r w:rsidR="001C66D8">
        <w:rPr>
          <w:rFonts w:cs="Arial"/>
          <w:bCs/>
          <w:color w:val="000000" w:themeColor="text1"/>
          <w:szCs w:val="19"/>
          <w:lang w:val="sk-SK"/>
        </w:rPr>
        <w:t>é</w:t>
      </w:r>
      <w:r w:rsidR="001C66D8" w:rsidRPr="0016059A">
        <w:rPr>
          <w:rFonts w:cs="Arial"/>
          <w:bCs/>
          <w:color w:val="000000" w:themeColor="text1"/>
          <w:szCs w:val="19"/>
          <w:lang w:val="sk-SK"/>
        </w:rPr>
        <w:t xml:space="preserve"> prác</w:t>
      </w:r>
      <w:r w:rsidR="001C66D8">
        <w:rPr>
          <w:rFonts w:cs="Arial"/>
          <w:bCs/>
          <w:color w:val="000000" w:themeColor="text1"/>
          <w:szCs w:val="19"/>
          <w:lang w:val="sk-SK"/>
        </w:rPr>
        <w:t>e</w:t>
      </w:r>
      <w:r w:rsidR="001C66D8" w:rsidRPr="0016059A">
        <w:rPr>
          <w:rFonts w:eastAsiaTheme="minorHAnsi" w:cs="Arial"/>
          <w:color w:val="000000" w:themeColor="text1"/>
          <w:szCs w:val="19"/>
          <w:lang w:val="sk-SK"/>
        </w:rPr>
        <w:t>;</w:t>
      </w:r>
    </w:p>
    <w:p w14:paraId="6F056050" w14:textId="3C4CCFEE" w:rsidR="00E4786F" w:rsidRPr="0016059A" w:rsidRDefault="00E4786F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szCs w:val="19"/>
          <w:lang w:val="sk-SK"/>
        </w:rPr>
      </w:pPr>
      <w:r>
        <w:rPr>
          <w:rFonts w:cs="Arial"/>
          <w:color w:val="000000" w:themeColor="text1"/>
          <w:szCs w:val="19"/>
          <w:lang w:val="sk-SK"/>
        </w:rPr>
        <w:t>obstaranie motorových vozidiel;</w:t>
      </w:r>
    </w:p>
    <w:p w14:paraId="78A18368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lang w:val="sk-SK"/>
        </w:rPr>
      </w:pPr>
      <w:r w:rsidRPr="00A6654F">
        <w:rPr>
          <w:rFonts w:eastAsiaTheme="minorHAnsi" w:cs="Arial"/>
          <w:color w:val="000000" w:themeColor="text1"/>
          <w:lang w:val="sk-SK"/>
        </w:rPr>
        <w:t>príprava žiadosti o poskytnutie NFP;</w:t>
      </w:r>
    </w:p>
    <w:p w14:paraId="673B15AE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lang w:val="sk-SK"/>
        </w:rPr>
      </w:pPr>
      <w:r w:rsidRPr="00A6654F">
        <w:rPr>
          <w:rFonts w:cs="Arial"/>
          <w:color w:val="000000" w:themeColor="text1"/>
          <w:lang w:val="sk-SK"/>
        </w:rPr>
        <w:t>výdavky na opravu a údržbu;</w:t>
      </w:r>
    </w:p>
    <w:p w14:paraId="60BB9970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color w:val="000000" w:themeColor="text1"/>
          <w:lang w:val="sk-SK"/>
        </w:rPr>
      </w:pPr>
      <w:r w:rsidRPr="00A6654F">
        <w:rPr>
          <w:rFonts w:cs="Arial"/>
          <w:color w:val="000000" w:themeColor="text1"/>
          <w:lang w:val="sk-SK"/>
        </w:rPr>
        <w:t>pravidelné obnovovacie investície súvisiace s výmenou strojov, prístrojov, zariadení a technológií;</w:t>
      </w:r>
    </w:p>
    <w:p w14:paraId="17FA46BD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color w:val="000000" w:themeColor="text1"/>
          <w:lang w:val="sk-SK"/>
        </w:rPr>
        <w:t xml:space="preserve">revízie a kontroly zariadení, technické prehliadky, funkčné skúšky, garančné a emisné merania ak nie sú súčasťou zmluvy o dielo, ale sú obstarávané </w:t>
      </w:r>
      <w:r w:rsidRPr="00A6654F">
        <w:rPr>
          <w:rFonts w:cs="Arial"/>
          <w:lang w:val="sk-SK"/>
        </w:rPr>
        <w:t>samostatne;</w:t>
      </w:r>
    </w:p>
    <w:p w14:paraId="77788D75" w14:textId="77777777" w:rsidR="001C66D8" w:rsidRPr="00A6654F" w:rsidRDefault="001C66D8" w:rsidP="001C66D8">
      <w:pPr>
        <w:pStyle w:val="Odsekzoznamu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 w:cs="Arial"/>
          <w:color w:val="000000"/>
          <w:lang w:val="sk-SK"/>
        </w:rPr>
      </w:pPr>
      <w:r w:rsidRPr="00A6654F">
        <w:rPr>
          <w:rFonts w:eastAsiaTheme="minorHAnsi" w:cs="Arial"/>
          <w:color w:val="000000"/>
          <w:lang w:val="sk-SK"/>
        </w:rPr>
        <w:t>vedľajšie rozpočtové náklady (VRN) okrem výdavkov na zriadenia staveniska;</w:t>
      </w:r>
    </w:p>
    <w:p w14:paraId="66D7C8AC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rezerva na nepredvídateľné výdavky súvisiace s nadobudnutím technologických a technických zariadení;</w:t>
      </w:r>
    </w:p>
    <w:p w14:paraId="7F3A6265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štúdie, ktoré vedú k vypracovaniu štátnej expertízy;</w:t>
      </w:r>
    </w:p>
    <w:p w14:paraId="7DDDBCD1" w14:textId="77777777" w:rsidR="001C66D8" w:rsidRPr="00A6654F" w:rsidRDefault="001C66D8" w:rsidP="001C66D8">
      <w:pPr>
        <w:pStyle w:val="Odsekzoznamu"/>
        <w:numPr>
          <w:ilvl w:val="0"/>
          <w:numId w:val="48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 xml:space="preserve">akreditácie, </w:t>
      </w:r>
      <w:proofErr w:type="spellStart"/>
      <w:r w:rsidRPr="00A6654F">
        <w:rPr>
          <w:rFonts w:cs="Arial"/>
          <w:lang w:val="sk-SK"/>
        </w:rPr>
        <w:t>reakreditácie</w:t>
      </w:r>
      <w:proofErr w:type="spellEnd"/>
      <w:r w:rsidRPr="00A6654F">
        <w:rPr>
          <w:rFonts w:cs="Arial"/>
          <w:lang w:val="sk-SK"/>
        </w:rPr>
        <w:t>;</w:t>
      </w:r>
    </w:p>
    <w:p w14:paraId="3EA18F25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 xml:space="preserve">prevádzkové výdavky </w:t>
      </w:r>
      <w:r w:rsidRPr="00A6654F">
        <w:rPr>
          <w:rFonts w:eastAsiaTheme="minorHAnsi" w:cs="Arial"/>
          <w:color w:val="000000"/>
          <w:lang w:val="sk-SK"/>
        </w:rPr>
        <w:t>bezprostredne súvisiace s realizáciou hlavných aktivít projektu</w:t>
      </w:r>
      <w:r w:rsidRPr="00A6654F">
        <w:rPr>
          <w:rFonts w:cs="Arial"/>
          <w:lang w:val="sk-SK"/>
        </w:rPr>
        <w:t xml:space="preserve"> (napr. výdavky na energie, vodné a stočné, pohonné hmoty a iné)</w:t>
      </w:r>
      <w:r w:rsidRPr="00A6654F">
        <w:rPr>
          <w:rFonts w:eastAsiaTheme="minorHAnsi" w:cs="Arial"/>
          <w:color w:val="000000" w:themeColor="text1"/>
          <w:lang w:val="sk-SK"/>
        </w:rPr>
        <w:t>;</w:t>
      </w:r>
      <w:r w:rsidRPr="00A6654F">
        <w:rPr>
          <w:rFonts w:cs="Arial"/>
          <w:lang w:val="sk-SK"/>
        </w:rPr>
        <w:t xml:space="preserve"> </w:t>
      </w:r>
    </w:p>
    <w:p w14:paraId="56FD4399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 xml:space="preserve">prevádzkové výdavky </w:t>
      </w:r>
      <w:r w:rsidRPr="00A6654F">
        <w:rPr>
          <w:rFonts w:eastAsiaTheme="minorHAnsi" w:cs="Arial"/>
          <w:color w:val="000000"/>
          <w:lang w:val="sk-SK"/>
        </w:rPr>
        <w:t>súvisiace s riadením projektu</w:t>
      </w:r>
      <w:r w:rsidRPr="00A6654F">
        <w:rPr>
          <w:rFonts w:cs="Arial"/>
          <w:lang w:val="sk-SK"/>
        </w:rPr>
        <w:t xml:space="preserve"> (režijné výdavky ako napr. výdavky na t</w:t>
      </w:r>
      <w:r w:rsidRPr="00A6654F">
        <w:rPr>
          <w:rFonts w:eastAsiaTheme="minorHAnsi" w:cs="Arial"/>
          <w:color w:val="000000"/>
          <w:lang w:val="sk-SK"/>
        </w:rPr>
        <w:t>elefón, fax, internet, upratovanie, občerstvenie, nákup spotrebného materiálu a tovaru pre riadenie projektu)</w:t>
      </w:r>
      <w:r w:rsidRPr="00A6654F">
        <w:rPr>
          <w:rFonts w:eastAsiaTheme="minorHAnsi" w:cs="Arial"/>
          <w:color w:val="000000" w:themeColor="text1"/>
          <w:lang w:val="sk-SK"/>
        </w:rPr>
        <w:t>;</w:t>
      </w:r>
    </w:p>
    <w:p w14:paraId="4D173786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správne poplatky, ktoré nie sú pre realizáciu projektu nevyhnutné a nemajú priamu väzbu na projekt;</w:t>
      </w:r>
    </w:p>
    <w:p w14:paraId="0EB9DB96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trike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 xml:space="preserve">výdavky na poistenie majetku nadobudnutého v súvislosti s realizáciou projektu; </w:t>
      </w:r>
    </w:p>
    <w:p w14:paraId="0B29BD0C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poplatky za zriadenie a vedenie bankového účtu v súvislosti s realizáciou projektu;</w:t>
      </w:r>
    </w:p>
    <w:p w14:paraId="5B4627A3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bankové poplatky;</w:t>
      </w:r>
    </w:p>
    <w:p w14:paraId="2D6B6D7C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daňové poplatky a dovozné prirážky;</w:t>
      </w:r>
    </w:p>
    <w:p w14:paraId="0D53FCA6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poplatky za poštovné a telekomunikačné služby;</w:t>
      </w:r>
    </w:p>
    <w:p w14:paraId="6A103489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výdavky na nákup použitého zariadenia;</w:t>
      </w:r>
    </w:p>
    <w:p w14:paraId="0ABC4982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>výdavky na právne služby prijímateľa voči poskytovateľovi (napr. žaloba, vypracovanie stanoviska);</w:t>
      </w:r>
    </w:p>
    <w:p w14:paraId="745CBC9E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>sankčné poplatky, pokuty</w:t>
      </w:r>
      <w:r w:rsidRPr="00A6654F">
        <w:rPr>
          <w:rStyle w:val="Odkaznapoznmkupodiarou"/>
          <w:rFonts w:cs="Arial"/>
          <w:sz w:val="20"/>
          <w:lang w:val="sk-SK"/>
        </w:rPr>
        <w:footnoteReference w:id="6"/>
      </w:r>
      <w:r w:rsidRPr="00A6654F">
        <w:rPr>
          <w:rFonts w:ascii="Arial" w:hAnsi="Arial" w:cs="Arial"/>
          <w:sz w:val="20"/>
          <w:lang w:val="sk-SK"/>
        </w:rPr>
        <w:t xml:space="preserve"> a penále, prípadne ďalšie sankčné výdavky, či už dohodnuté v zmluvách alebo vzniknuté z iných príčin;</w:t>
      </w:r>
    </w:p>
    <w:p w14:paraId="24BCE2AD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>manká, škody (napr. škody spôsobené počas výstavby na cudzom majetku) a dlhy;</w:t>
      </w:r>
    </w:p>
    <w:p w14:paraId="7D50C243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>nesplatené dlžné úroky z úverov a pôžičiek</w:t>
      </w:r>
      <w:r w:rsidRPr="00A6654F">
        <w:rPr>
          <w:rStyle w:val="Odkaznapoznmkupodiarou"/>
          <w:rFonts w:cs="Arial"/>
          <w:sz w:val="20"/>
          <w:lang w:val="sk-SK"/>
        </w:rPr>
        <w:footnoteReference w:id="7"/>
      </w:r>
      <w:r w:rsidRPr="00A6654F">
        <w:rPr>
          <w:rFonts w:ascii="Arial" w:hAnsi="Arial" w:cs="Arial"/>
          <w:sz w:val="20"/>
          <w:lang w:val="sk-SK"/>
        </w:rPr>
        <w:t>;</w:t>
      </w:r>
    </w:p>
    <w:p w14:paraId="1E39861E" w14:textId="77777777" w:rsidR="001C66D8" w:rsidRPr="00A6654F" w:rsidRDefault="001C66D8" w:rsidP="001C66D8">
      <w:pPr>
        <w:pStyle w:val="Zoznamsodrkami"/>
        <w:numPr>
          <w:ilvl w:val="0"/>
          <w:numId w:val="49"/>
        </w:numPr>
        <w:spacing w:before="0" w:after="0" w:line="288" w:lineRule="auto"/>
        <w:ind w:left="567" w:hanging="283"/>
        <w:rPr>
          <w:rFonts w:ascii="Arial" w:hAnsi="Arial" w:cs="Arial"/>
          <w:sz w:val="20"/>
          <w:lang w:val="sk-SK"/>
        </w:rPr>
      </w:pPr>
      <w:r w:rsidRPr="00A6654F">
        <w:rPr>
          <w:rFonts w:ascii="Arial" w:hAnsi="Arial" w:cs="Arial"/>
          <w:sz w:val="20"/>
          <w:lang w:val="sk-SK"/>
        </w:rPr>
        <w:t>dary;</w:t>
      </w:r>
    </w:p>
    <w:p w14:paraId="2E53ECB7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7" w:hanging="283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položky financované z iných finančných zdrojov (</w:t>
      </w:r>
      <w:proofErr w:type="spellStart"/>
      <w:r w:rsidRPr="00A6654F">
        <w:rPr>
          <w:rFonts w:cs="Arial"/>
          <w:lang w:val="sk-SK"/>
        </w:rPr>
        <w:t>Envirofond</w:t>
      </w:r>
      <w:proofErr w:type="spellEnd"/>
      <w:r w:rsidRPr="00A6654F">
        <w:rPr>
          <w:rFonts w:cs="Arial"/>
          <w:lang w:val="sk-SK"/>
        </w:rPr>
        <w:t>, Recyklačný fond);</w:t>
      </w:r>
    </w:p>
    <w:p w14:paraId="64ACFE92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t>DPH v prípade, keď je nárokovateľná na vrátenie akýmkoľvek spôsobom;</w:t>
      </w:r>
    </w:p>
    <w:p w14:paraId="5BAF1BED" w14:textId="77777777" w:rsidR="001C66D8" w:rsidRPr="00A6654F" w:rsidRDefault="001C66D8" w:rsidP="001C66D8">
      <w:pPr>
        <w:pStyle w:val="Odsekzoznamu"/>
        <w:numPr>
          <w:ilvl w:val="0"/>
          <w:numId w:val="49"/>
        </w:numPr>
        <w:spacing w:line="288" w:lineRule="auto"/>
        <w:ind w:left="568" w:hanging="284"/>
        <w:contextualSpacing w:val="0"/>
        <w:jc w:val="both"/>
        <w:rPr>
          <w:rFonts w:cs="Arial"/>
          <w:lang w:val="sk-SK"/>
        </w:rPr>
      </w:pPr>
      <w:r w:rsidRPr="00A6654F">
        <w:rPr>
          <w:rFonts w:cs="Arial"/>
          <w:lang w:val="sk-SK"/>
        </w:rPr>
        <w:lastRenderedPageBreak/>
        <w:t>priame dane (napr. daň z nehnuteľnosti, daň z motorových vozidiel a pod.);</w:t>
      </w:r>
    </w:p>
    <w:p w14:paraId="41C611F5" w14:textId="77777777" w:rsidR="00EA784C" w:rsidRPr="00EA784C" w:rsidRDefault="001C66D8" w:rsidP="00EA784C">
      <w:pPr>
        <w:pStyle w:val="Odsekzoznamu"/>
        <w:numPr>
          <w:ilvl w:val="0"/>
          <w:numId w:val="49"/>
        </w:numPr>
        <w:spacing w:line="288" w:lineRule="auto"/>
        <w:ind w:left="568" w:hanging="284"/>
        <w:contextualSpacing w:val="0"/>
        <w:jc w:val="both"/>
        <w:rPr>
          <w:rFonts w:asciiTheme="majorHAnsi" w:hAnsiTheme="majorHAnsi" w:cstheme="majorHAnsi"/>
          <w:szCs w:val="19"/>
          <w:lang w:val="sk-SK"/>
        </w:rPr>
      </w:pPr>
      <w:r w:rsidRPr="00A6654F">
        <w:rPr>
          <w:rFonts w:cs="Arial"/>
          <w:lang w:val="sk-SK"/>
        </w:rPr>
        <w:t>iné výdavky priamo nesúvisiace s projektom.</w:t>
      </w:r>
    </w:p>
    <w:p w14:paraId="1BE61D76" w14:textId="77777777" w:rsidR="00EA784C" w:rsidRDefault="00EA784C" w:rsidP="00EA784C">
      <w:pPr>
        <w:spacing w:line="288" w:lineRule="auto"/>
        <w:jc w:val="both"/>
        <w:rPr>
          <w:rFonts w:eastAsiaTheme="minorHAnsi" w:cs="Arial"/>
          <w:color w:val="000000" w:themeColor="text1"/>
          <w:szCs w:val="19"/>
          <w:lang w:val="sk-SK"/>
        </w:rPr>
      </w:pPr>
    </w:p>
    <w:p w14:paraId="4E741F4A" w14:textId="66ABC33C" w:rsidR="00EA784C" w:rsidRPr="00EA784C" w:rsidRDefault="00EA784C" w:rsidP="00EA784C">
      <w:pPr>
        <w:spacing w:line="288" w:lineRule="auto"/>
        <w:jc w:val="both"/>
        <w:rPr>
          <w:rFonts w:asciiTheme="majorHAnsi" w:hAnsiTheme="majorHAnsi" w:cstheme="majorHAnsi"/>
          <w:szCs w:val="19"/>
          <w:lang w:val="sk-SK"/>
        </w:rPr>
      </w:pPr>
      <w:r w:rsidRPr="00EA784C">
        <w:rPr>
          <w:rFonts w:eastAsiaTheme="minorHAnsi" w:cs="Arial"/>
          <w:color w:val="000000" w:themeColor="text1"/>
          <w:szCs w:val="19"/>
          <w:lang w:val="sk-SK"/>
        </w:rPr>
        <w:t xml:space="preserve">Uvedené neoprávnené výdavky nepredstavujú kompletný (konečný) zoznam. Poskytovateľ nemôže, vzhľadom na rozmanitosť aktivít identifikovať všetky neoprávnené výdavky, ktoré môžu v súvislosti s realizáciou projektov vzniknúť. </w:t>
      </w:r>
    </w:p>
    <w:p w14:paraId="37B1EBE5" w14:textId="77777777" w:rsidR="001C66D8" w:rsidRPr="00034306" w:rsidRDefault="001C66D8" w:rsidP="003C4477">
      <w:pPr>
        <w:jc w:val="both"/>
        <w:rPr>
          <w:szCs w:val="19"/>
          <w:lang w:val="sk-SK"/>
        </w:rPr>
      </w:pPr>
    </w:p>
    <w:sectPr w:rsidR="001C66D8" w:rsidRPr="00034306" w:rsidSect="009E009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ED86" w14:textId="77777777" w:rsidR="006F3D89" w:rsidRDefault="006F3D89">
      <w:r>
        <w:separator/>
      </w:r>
    </w:p>
    <w:p w14:paraId="4B1F0426" w14:textId="77777777" w:rsidR="006F3D89" w:rsidRDefault="006F3D89"/>
  </w:endnote>
  <w:endnote w:type="continuationSeparator" w:id="0">
    <w:p w14:paraId="0C990839" w14:textId="77777777" w:rsidR="006F3D89" w:rsidRDefault="006F3D89">
      <w:r>
        <w:continuationSeparator/>
      </w:r>
    </w:p>
    <w:p w14:paraId="65DD3012" w14:textId="77777777" w:rsidR="006F3D89" w:rsidRDefault="006F3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068F0" w14:textId="77777777" w:rsidR="002A2F37" w:rsidRPr="001B75B2" w:rsidRDefault="002A2F37" w:rsidP="00E13C55">
    <w:pPr>
      <w:pStyle w:val="Hlavika"/>
      <w:tabs>
        <w:tab w:val="left" w:pos="709"/>
      </w:tabs>
      <w:rPr>
        <w:lang w:val="sk-SK"/>
      </w:rPr>
    </w:pPr>
  </w:p>
  <w:p w14:paraId="0DF1BE13" w14:textId="77777777" w:rsidR="002A2F37" w:rsidRPr="003530AF" w:rsidRDefault="002A2F37" w:rsidP="00E13C5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B68D" w14:textId="77777777" w:rsidR="006F3D89" w:rsidRDefault="006F3D89">
      <w:r>
        <w:separator/>
      </w:r>
    </w:p>
    <w:p w14:paraId="4A403B3B" w14:textId="77777777" w:rsidR="006F3D89" w:rsidRDefault="006F3D89"/>
  </w:footnote>
  <w:footnote w:type="continuationSeparator" w:id="0">
    <w:p w14:paraId="65088873" w14:textId="77777777" w:rsidR="006F3D89" w:rsidRDefault="006F3D89">
      <w:r>
        <w:continuationSeparator/>
      </w:r>
    </w:p>
    <w:p w14:paraId="13677F45" w14:textId="77777777" w:rsidR="006F3D89" w:rsidRDefault="006F3D89"/>
  </w:footnote>
  <w:footnote w:id="1">
    <w:p w14:paraId="57E80425" w14:textId="77777777" w:rsidR="00D50AD6" w:rsidRPr="00BB4CAE" w:rsidRDefault="00D50AD6" w:rsidP="00D50AD6">
      <w:pPr>
        <w:pStyle w:val="Textpoznmkypodiarou"/>
        <w:rPr>
          <w:lang w:val="sk-SK"/>
        </w:rPr>
      </w:pPr>
      <w:r w:rsidRPr="00D50AD6">
        <w:rPr>
          <w:rStyle w:val="Odkaznapoznmkupodiarou"/>
          <w:lang w:val="sk-SK"/>
        </w:rPr>
        <w:footnoteRef/>
      </w:r>
      <w:r w:rsidRPr="00D50AD6">
        <w:rPr>
          <w:lang w:val="sk-SK"/>
        </w:rPr>
        <w:t xml:space="preserve"> Výdavky</w:t>
      </w:r>
      <w:r w:rsidRPr="00BB4CAE">
        <w:rPr>
          <w:lang w:val="sk-SK"/>
        </w:rPr>
        <w:t>, ktoré bezprostredne súvisia s informovaním verejnosti o podpore, ktorú projekt získal z európskych štrukturálnych</w:t>
      </w:r>
    </w:p>
    <w:p w14:paraId="7AF3F11B" w14:textId="77777777" w:rsidR="00D50AD6" w:rsidRPr="00BB4CAE" w:rsidRDefault="00D50AD6" w:rsidP="00D50AD6">
      <w:pPr>
        <w:pStyle w:val="Textpoznmkypodiarou"/>
        <w:rPr>
          <w:lang w:val="sk-SK"/>
        </w:rPr>
      </w:pPr>
      <w:r w:rsidRPr="00BB4CAE">
        <w:rPr>
          <w:lang w:val="sk-SK"/>
        </w:rPr>
        <w:t>a investičných fondov (ďalej len „EŠIF“) a štátneho rozpočtu SR na jeho spolufinancovanie.</w:t>
      </w:r>
    </w:p>
  </w:footnote>
  <w:footnote w:id="2">
    <w:p w14:paraId="4F483B45" w14:textId="77777777" w:rsidR="00BB4CAE" w:rsidRPr="00BB4CAE" w:rsidRDefault="00BB4CAE" w:rsidP="003F4970">
      <w:pPr>
        <w:pStyle w:val="Textpoznmkypodiarou"/>
        <w:rPr>
          <w:szCs w:val="16"/>
          <w:lang w:val="sk-SK"/>
        </w:rPr>
      </w:pPr>
      <w:r w:rsidRPr="00BB4CAE">
        <w:rPr>
          <w:rStyle w:val="Odkaznapoznmkupodiarou"/>
          <w:lang w:val="sk-SK"/>
        </w:rPr>
        <w:footnoteRef/>
      </w:r>
      <w:r w:rsidRPr="00BB4CAE">
        <w:rPr>
          <w:lang w:val="sk-SK"/>
        </w:rPr>
        <w:t xml:space="preserve"> </w:t>
      </w:r>
      <w:r w:rsidRPr="00BB4CAE">
        <w:rPr>
          <w:szCs w:val="16"/>
          <w:lang w:val="sk-SK"/>
        </w:rPr>
        <w:t xml:space="preserve">Povinný pri projektoch slúžiacich na financovanie infraštruktúry alebo stavebných činností a celkovej výške NFP nad 500 000,- EUR.  </w:t>
      </w:r>
    </w:p>
  </w:footnote>
  <w:footnote w:id="3">
    <w:p w14:paraId="74D0FFED" w14:textId="77777777" w:rsidR="00BB4CAE" w:rsidRPr="00BB4CAE" w:rsidRDefault="00BB4CAE" w:rsidP="003F4970">
      <w:pPr>
        <w:pStyle w:val="Textpoznmkypodiarou"/>
        <w:rPr>
          <w:szCs w:val="16"/>
          <w:lang w:val="sk-SK"/>
        </w:rPr>
      </w:pPr>
      <w:r w:rsidRPr="00BB4CAE">
        <w:rPr>
          <w:rStyle w:val="Odkaznapoznmkupodiarou"/>
          <w:szCs w:val="16"/>
          <w:lang w:val="sk-SK"/>
        </w:rPr>
        <w:footnoteRef/>
      </w:r>
      <w:r w:rsidRPr="00BB4CAE">
        <w:rPr>
          <w:szCs w:val="16"/>
          <w:lang w:val="sk-SK"/>
        </w:rPr>
        <w:t xml:space="preserve"> Povinná pri projektoch spočívajúcich v zakúpení fyzického objektu alebo vo financovaní infraštruktúry alebo stavebných činností a celkovej výške NFP nad 500 000,- EUR</w:t>
      </w:r>
    </w:p>
  </w:footnote>
  <w:footnote w:id="4">
    <w:p w14:paraId="67F2C8D1" w14:textId="77777777" w:rsidR="00BB4CAE" w:rsidRPr="00BB4CAE" w:rsidRDefault="00BB4CAE" w:rsidP="003F4970">
      <w:pPr>
        <w:pStyle w:val="Textpoznmkypodiarou"/>
        <w:rPr>
          <w:lang w:val="sk-SK"/>
        </w:rPr>
      </w:pPr>
      <w:r w:rsidRPr="00BB4CAE">
        <w:rPr>
          <w:rStyle w:val="Odkaznapoznmkupodiarou"/>
          <w:szCs w:val="16"/>
          <w:lang w:val="sk-SK"/>
        </w:rPr>
        <w:footnoteRef/>
      </w:r>
      <w:r w:rsidRPr="00BB4CAE">
        <w:rPr>
          <w:szCs w:val="16"/>
          <w:lang w:val="sk-SK"/>
        </w:rPr>
        <w:t xml:space="preserve"> Povinný pri projektoch, na ktoré sa nevzťahuje povinnosť osadenia veľkoplošného pútača a vyvesenia stálej tabule veľkosti min. A3</w:t>
      </w:r>
    </w:p>
  </w:footnote>
  <w:footnote w:id="5">
    <w:p w14:paraId="140CAD11" w14:textId="77777777" w:rsidR="001C66D8" w:rsidRPr="00F64EDE" w:rsidRDefault="001C66D8" w:rsidP="001C66D8">
      <w:pPr>
        <w:pStyle w:val="Textpoznmkypodiarou"/>
        <w:jc w:val="both"/>
        <w:rPr>
          <w:lang w:val="sk-SK"/>
        </w:rPr>
      </w:pPr>
      <w:r w:rsidRPr="00F64EDE">
        <w:rPr>
          <w:rStyle w:val="Odkaznapoznmkupodiarou"/>
          <w:rFonts w:cs="Arial"/>
          <w:szCs w:val="16"/>
          <w:lang w:val="sk-SK"/>
        </w:rPr>
        <w:footnoteRef/>
      </w:r>
      <w:r w:rsidRPr="00F64EDE">
        <w:rPr>
          <w:rFonts w:cs="Arial"/>
          <w:szCs w:val="16"/>
          <w:lang w:val="sk-SK"/>
        </w:rPr>
        <w:t xml:space="preserve"> Prekročenie stanoveného benchmarku je povolené iba vo výnimočných a dobre zdôvodnených prípadoch.</w:t>
      </w:r>
    </w:p>
  </w:footnote>
  <w:footnote w:id="6">
    <w:p w14:paraId="45582131" w14:textId="77777777" w:rsidR="001C66D8" w:rsidRPr="00F64EDE" w:rsidRDefault="001C66D8" w:rsidP="001C66D8">
      <w:pPr>
        <w:pStyle w:val="Textpoznmkypodiarou"/>
        <w:ind w:left="284" w:hanging="142"/>
        <w:jc w:val="both"/>
        <w:rPr>
          <w:rFonts w:cs="Arial"/>
          <w:szCs w:val="16"/>
          <w:lang w:val="sk-SK"/>
        </w:rPr>
      </w:pPr>
      <w:r w:rsidRPr="00584F3E">
        <w:rPr>
          <w:rStyle w:val="Odkaznapoznmkupodiarou"/>
          <w:rFonts w:cs="Arial"/>
          <w:szCs w:val="16"/>
        </w:rPr>
        <w:footnoteRef/>
      </w:r>
      <w:r w:rsidRPr="00584F3E">
        <w:rPr>
          <w:rFonts w:cs="Arial"/>
          <w:szCs w:val="16"/>
        </w:rPr>
        <w:t xml:space="preserve"> </w:t>
      </w:r>
      <w:r w:rsidRPr="00F64EDE">
        <w:rPr>
          <w:rFonts w:cs="Arial"/>
          <w:szCs w:val="16"/>
          <w:lang w:val="sk-SK"/>
        </w:rPr>
        <w:t>Takýmito výdavkami sú napr. pokuty (napr. pokuty uložené v súlade s ustanoveniami všeobecne záväzných právnych predpisov za porušenie princípu ,,znečisťovateľ platí“) a iné druhy uložených peňažných alebo nepeňažných sankcií.</w:t>
      </w:r>
    </w:p>
  </w:footnote>
  <w:footnote w:id="7">
    <w:p w14:paraId="60FE4198" w14:textId="77777777" w:rsidR="001C66D8" w:rsidRPr="00F64EDE" w:rsidRDefault="001C66D8" w:rsidP="001C66D8">
      <w:pPr>
        <w:pStyle w:val="Textpoznmkypodiarou"/>
        <w:ind w:firstLine="142"/>
        <w:jc w:val="both"/>
        <w:rPr>
          <w:szCs w:val="18"/>
          <w:lang w:val="sk-SK"/>
        </w:rPr>
      </w:pPr>
      <w:r w:rsidRPr="00F64EDE">
        <w:rPr>
          <w:rStyle w:val="Odkaznapoznmkupodiarou"/>
          <w:rFonts w:cs="Arial"/>
          <w:szCs w:val="16"/>
          <w:lang w:val="sk-SK"/>
        </w:rPr>
        <w:footnoteRef/>
      </w:r>
      <w:r w:rsidRPr="00F64EDE">
        <w:rPr>
          <w:rFonts w:cs="Arial"/>
          <w:szCs w:val="16"/>
          <w:lang w:val="sk-SK"/>
        </w:rPr>
        <w:t xml:space="preserve">  Týmto nie je dotknuté ustanovenie čl. 69 ods. 3 písm. a) všeobecného nariadenia.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8AA6" w14:textId="77777777" w:rsidR="00C04896" w:rsidRDefault="00C04896" w:rsidP="00C04896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89C1923" wp14:editId="477D46A8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C0C66EF" wp14:editId="72D5B8BC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14:paraId="57F9D3FA" w14:textId="77777777" w:rsidR="00C04896" w:rsidRDefault="00C04896" w:rsidP="00C04896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14:paraId="26460E37" w14:textId="77777777" w:rsidR="00C04896" w:rsidRDefault="00C04896" w:rsidP="00C04896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14:paraId="368D45D5" w14:textId="3C0BD6FF" w:rsidR="002A2F37" w:rsidRDefault="002A2F37" w:rsidP="00E13C55">
    <w:pPr>
      <w:pStyle w:val="Hlavika"/>
      <w:tabs>
        <w:tab w:val="clear" w:pos="4703"/>
        <w:tab w:val="clear" w:pos="9406"/>
        <w:tab w:val="left" w:pos="4275"/>
        <w:tab w:val="left" w:pos="7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5650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2AD6666"/>
    <w:multiLevelType w:val="hybridMultilevel"/>
    <w:tmpl w:val="8946AFDE"/>
    <w:lvl w:ilvl="0" w:tplc="62B893BE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92EDB"/>
    <w:multiLevelType w:val="hybridMultilevel"/>
    <w:tmpl w:val="5DE824A2"/>
    <w:lvl w:ilvl="0" w:tplc="E462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092911"/>
    <w:multiLevelType w:val="hybridMultilevel"/>
    <w:tmpl w:val="315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E2577B"/>
    <w:multiLevelType w:val="hybridMultilevel"/>
    <w:tmpl w:val="AC9A04EC"/>
    <w:lvl w:ilvl="0" w:tplc="3280CF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AA78E1"/>
    <w:multiLevelType w:val="hybridMultilevel"/>
    <w:tmpl w:val="4C247D1E"/>
    <w:lvl w:ilvl="0" w:tplc="94A865F4">
      <w:start w:val="1"/>
      <w:numFmt w:val="bullet"/>
      <w:lvlText w:val="-"/>
      <w:lvlJc w:val="left"/>
      <w:pPr>
        <w:ind w:left="9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2B470259"/>
    <w:multiLevelType w:val="hybridMultilevel"/>
    <w:tmpl w:val="58CAB7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3325595"/>
    <w:multiLevelType w:val="hybridMultilevel"/>
    <w:tmpl w:val="977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6F66"/>
    <w:multiLevelType w:val="hybridMultilevel"/>
    <w:tmpl w:val="B644DC00"/>
    <w:lvl w:ilvl="0" w:tplc="940C044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8646F5"/>
    <w:multiLevelType w:val="hybridMultilevel"/>
    <w:tmpl w:val="D238268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9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E27140"/>
    <w:multiLevelType w:val="hybridMultilevel"/>
    <w:tmpl w:val="CA105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2D5126"/>
    <w:multiLevelType w:val="hybridMultilevel"/>
    <w:tmpl w:val="E8F6E2BC"/>
    <w:lvl w:ilvl="0" w:tplc="94A865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11B1A"/>
    <w:multiLevelType w:val="hybridMultilevel"/>
    <w:tmpl w:val="B77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4742D"/>
    <w:multiLevelType w:val="hybridMultilevel"/>
    <w:tmpl w:val="F58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730F7"/>
    <w:multiLevelType w:val="hybridMultilevel"/>
    <w:tmpl w:val="4B0C7922"/>
    <w:lvl w:ilvl="0" w:tplc="94A865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1A5C41"/>
    <w:multiLevelType w:val="hybridMultilevel"/>
    <w:tmpl w:val="A542660E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E282328"/>
    <w:multiLevelType w:val="hybridMultilevel"/>
    <w:tmpl w:val="D0E45812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0"/>
  </w:num>
  <w:num w:numId="5">
    <w:abstractNumId w:val="23"/>
  </w:num>
  <w:num w:numId="6">
    <w:abstractNumId w:val="25"/>
  </w:num>
  <w:num w:numId="7">
    <w:abstractNumId w:val="3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5"/>
  </w:num>
  <w:num w:numId="25">
    <w:abstractNumId w:val="29"/>
  </w:num>
  <w:num w:numId="26">
    <w:abstractNumId w:val="35"/>
  </w:num>
  <w:num w:numId="27">
    <w:abstractNumId w:val="32"/>
  </w:num>
  <w:num w:numId="28">
    <w:abstractNumId w:val="24"/>
  </w:num>
  <w:num w:numId="29">
    <w:abstractNumId w:val="38"/>
  </w:num>
  <w:num w:numId="30">
    <w:abstractNumId w:val="34"/>
  </w:num>
  <w:num w:numId="31">
    <w:abstractNumId w:val="16"/>
  </w:num>
  <w:num w:numId="32">
    <w:abstractNumId w:val="31"/>
  </w:num>
  <w:num w:numId="33">
    <w:abstractNumId w:val="39"/>
  </w:num>
  <w:num w:numId="34">
    <w:abstractNumId w:val="15"/>
  </w:num>
  <w:num w:numId="35">
    <w:abstractNumId w:val="41"/>
  </w:num>
  <w:num w:numId="36">
    <w:abstractNumId w:val="11"/>
  </w:num>
  <w:num w:numId="37">
    <w:abstractNumId w:val="44"/>
  </w:num>
  <w:num w:numId="38">
    <w:abstractNumId w:val="21"/>
  </w:num>
  <w:num w:numId="39">
    <w:abstractNumId w:val="37"/>
  </w:num>
  <w:num w:numId="40">
    <w:abstractNumId w:val="13"/>
  </w:num>
  <w:num w:numId="41">
    <w:abstractNumId w:val="20"/>
  </w:num>
  <w:num w:numId="42">
    <w:abstractNumId w:val="19"/>
  </w:num>
  <w:num w:numId="43">
    <w:abstractNumId w:val="17"/>
  </w:num>
  <w:num w:numId="44">
    <w:abstractNumId w:val="42"/>
  </w:num>
  <w:num w:numId="45">
    <w:abstractNumId w:val="36"/>
  </w:num>
  <w:num w:numId="46">
    <w:abstractNumId w:val="30"/>
  </w:num>
  <w:num w:numId="47">
    <w:abstractNumId w:val="10"/>
  </w:num>
  <w:num w:numId="48">
    <w:abstractNumId w:val="46"/>
  </w:num>
  <w:num w:numId="49">
    <w:abstractNumId w:val="22"/>
  </w:num>
  <w:num w:numId="5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2"/>
    <w:rsid w:val="000016A5"/>
    <w:rsid w:val="00015A80"/>
    <w:rsid w:val="00020A5B"/>
    <w:rsid w:val="0002763A"/>
    <w:rsid w:val="00030C5B"/>
    <w:rsid w:val="00034306"/>
    <w:rsid w:val="000606EA"/>
    <w:rsid w:val="00070FC4"/>
    <w:rsid w:val="00071987"/>
    <w:rsid w:val="00072921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5757"/>
    <w:rsid w:val="000B7751"/>
    <w:rsid w:val="000C07D2"/>
    <w:rsid w:val="000C2594"/>
    <w:rsid w:val="000D7DB9"/>
    <w:rsid w:val="0011692E"/>
    <w:rsid w:val="001206DF"/>
    <w:rsid w:val="0012336B"/>
    <w:rsid w:val="00127DB5"/>
    <w:rsid w:val="00137B33"/>
    <w:rsid w:val="00143AD7"/>
    <w:rsid w:val="001452B6"/>
    <w:rsid w:val="00146657"/>
    <w:rsid w:val="001527A9"/>
    <w:rsid w:val="0017198C"/>
    <w:rsid w:val="00174AFE"/>
    <w:rsid w:val="00182989"/>
    <w:rsid w:val="00182C05"/>
    <w:rsid w:val="00192A26"/>
    <w:rsid w:val="001A19F7"/>
    <w:rsid w:val="001A3801"/>
    <w:rsid w:val="001A4B95"/>
    <w:rsid w:val="001A4E24"/>
    <w:rsid w:val="001B6E17"/>
    <w:rsid w:val="001B75B2"/>
    <w:rsid w:val="001C2EF4"/>
    <w:rsid w:val="001C66D8"/>
    <w:rsid w:val="001C6FC0"/>
    <w:rsid w:val="001F00D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A2F37"/>
    <w:rsid w:val="002C0621"/>
    <w:rsid w:val="002D5999"/>
    <w:rsid w:val="002D5FCD"/>
    <w:rsid w:val="002D7602"/>
    <w:rsid w:val="002E32BC"/>
    <w:rsid w:val="002F2954"/>
    <w:rsid w:val="002F3983"/>
    <w:rsid w:val="003038D5"/>
    <w:rsid w:val="0030763C"/>
    <w:rsid w:val="0031390F"/>
    <w:rsid w:val="0031599A"/>
    <w:rsid w:val="00345C3A"/>
    <w:rsid w:val="003471B5"/>
    <w:rsid w:val="003530AF"/>
    <w:rsid w:val="00353759"/>
    <w:rsid w:val="00360EB6"/>
    <w:rsid w:val="00362BC5"/>
    <w:rsid w:val="003646BE"/>
    <w:rsid w:val="00375271"/>
    <w:rsid w:val="00392F8B"/>
    <w:rsid w:val="00392FE4"/>
    <w:rsid w:val="00394C79"/>
    <w:rsid w:val="003977EF"/>
    <w:rsid w:val="00397AED"/>
    <w:rsid w:val="003A1398"/>
    <w:rsid w:val="003A449F"/>
    <w:rsid w:val="003B2D23"/>
    <w:rsid w:val="003C1822"/>
    <w:rsid w:val="003C4477"/>
    <w:rsid w:val="003D424B"/>
    <w:rsid w:val="003D6630"/>
    <w:rsid w:val="003E3BB1"/>
    <w:rsid w:val="003F18CD"/>
    <w:rsid w:val="003F22DC"/>
    <w:rsid w:val="0040246A"/>
    <w:rsid w:val="0040286C"/>
    <w:rsid w:val="00402DEA"/>
    <w:rsid w:val="004040B0"/>
    <w:rsid w:val="004169EC"/>
    <w:rsid w:val="0042148A"/>
    <w:rsid w:val="004257D7"/>
    <w:rsid w:val="00441746"/>
    <w:rsid w:val="00460483"/>
    <w:rsid w:val="004809EB"/>
    <w:rsid w:val="00490310"/>
    <w:rsid w:val="00496B11"/>
    <w:rsid w:val="00496CE1"/>
    <w:rsid w:val="00497959"/>
    <w:rsid w:val="004A531E"/>
    <w:rsid w:val="004A6C86"/>
    <w:rsid w:val="004B4FFD"/>
    <w:rsid w:val="004B53E6"/>
    <w:rsid w:val="004B67CC"/>
    <w:rsid w:val="004E3B61"/>
    <w:rsid w:val="004E7B9C"/>
    <w:rsid w:val="00505FF4"/>
    <w:rsid w:val="00532D0A"/>
    <w:rsid w:val="00532FBB"/>
    <w:rsid w:val="00534E6E"/>
    <w:rsid w:val="0056529D"/>
    <w:rsid w:val="00566CE1"/>
    <w:rsid w:val="0057284A"/>
    <w:rsid w:val="00580816"/>
    <w:rsid w:val="00582B72"/>
    <w:rsid w:val="00592A29"/>
    <w:rsid w:val="005936FF"/>
    <w:rsid w:val="005978E9"/>
    <w:rsid w:val="005B4CAD"/>
    <w:rsid w:val="005D102E"/>
    <w:rsid w:val="005D670E"/>
    <w:rsid w:val="005F0693"/>
    <w:rsid w:val="005F1143"/>
    <w:rsid w:val="005F15BD"/>
    <w:rsid w:val="00606BC7"/>
    <w:rsid w:val="00610E17"/>
    <w:rsid w:val="00624DC2"/>
    <w:rsid w:val="0063077C"/>
    <w:rsid w:val="00630A41"/>
    <w:rsid w:val="006311E5"/>
    <w:rsid w:val="006328F5"/>
    <w:rsid w:val="00641C43"/>
    <w:rsid w:val="00644FC2"/>
    <w:rsid w:val="006620EF"/>
    <w:rsid w:val="00670284"/>
    <w:rsid w:val="00675873"/>
    <w:rsid w:val="0068463D"/>
    <w:rsid w:val="006859B7"/>
    <w:rsid w:val="00691313"/>
    <w:rsid w:val="006A494E"/>
    <w:rsid w:val="006B6ECA"/>
    <w:rsid w:val="006C296C"/>
    <w:rsid w:val="006D02FC"/>
    <w:rsid w:val="006D6107"/>
    <w:rsid w:val="006F2C90"/>
    <w:rsid w:val="006F3D89"/>
    <w:rsid w:val="006F6C05"/>
    <w:rsid w:val="006F71E5"/>
    <w:rsid w:val="007021D8"/>
    <w:rsid w:val="00711003"/>
    <w:rsid w:val="00726878"/>
    <w:rsid w:val="00726CE6"/>
    <w:rsid w:val="00726FE1"/>
    <w:rsid w:val="00733B6A"/>
    <w:rsid w:val="00750341"/>
    <w:rsid w:val="007543EB"/>
    <w:rsid w:val="00755063"/>
    <w:rsid w:val="00777B34"/>
    <w:rsid w:val="00777B43"/>
    <w:rsid w:val="00781B17"/>
    <w:rsid w:val="0078250C"/>
    <w:rsid w:val="00783127"/>
    <w:rsid w:val="007877D4"/>
    <w:rsid w:val="00792C76"/>
    <w:rsid w:val="0079594D"/>
    <w:rsid w:val="007A1AEE"/>
    <w:rsid w:val="007A44D3"/>
    <w:rsid w:val="007D22CE"/>
    <w:rsid w:val="007D3B89"/>
    <w:rsid w:val="007D495A"/>
    <w:rsid w:val="007D7E0C"/>
    <w:rsid w:val="007F11EE"/>
    <w:rsid w:val="0081151B"/>
    <w:rsid w:val="00814EEF"/>
    <w:rsid w:val="008201A2"/>
    <w:rsid w:val="00835737"/>
    <w:rsid w:val="00847CA7"/>
    <w:rsid w:val="008503A8"/>
    <w:rsid w:val="00856B36"/>
    <w:rsid w:val="00860775"/>
    <w:rsid w:val="008751A5"/>
    <w:rsid w:val="00875E04"/>
    <w:rsid w:val="00887ECD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29AB"/>
    <w:rsid w:val="0093353B"/>
    <w:rsid w:val="00935030"/>
    <w:rsid w:val="00956973"/>
    <w:rsid w:val="00962584"/>
    <w:rsid w:val="00965ADA"/>
    <w:rsid w:val="00991839"/>
    <w:rsid w:val="009D0EC2"/>
    <w:rsid w:val="009D51B7"/>
    <w:rsid w:val="009D7ED9"/>
    <w:rsid w:val="009E0098"/>
    <w:rsid w:val="009E21D5"/>
    <w:rsid w:val="009F568A"/>
    <w:rsid w:val="009F5D6A"/>
    <w:rsid w:val="00A0681B"/>
    <w:rsid w:val="00A06919"/>
    <w:rsid w:val="00A27A2C"/>
    <w:rsid w:val="00A40230"/>
    <w:rsid w:val="00A51A25"/>
    <w:rsid w:val="00A520FB"/>
    <w:rsid w:val="00A54523"/>
    <w:rsid w:val="00A7348E"/>
    <w:rsid w:val="00A81CF2"/>
    <w:rsid w:val="00A97651"/>
    <w:rsid w:val="00AA5CE3"/>
    <w:rsid w:val="00AA7FE5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44777"/>
    <w:rsid w:val="00B56763"/>
    <w:rsid w:val="00B60C55"/>
    <w:rsid w:val="00B629FA"/>
    <w:rsid w:val="00B670CC"/>
    <w:rsid w:val="00B72213"/>
    <w:rsid w:val="00B8046A"/>
    <w:rsid w:val="00B8478F"/>
    <w:rsid w:val="00BB2B77"/>
    <w:rsid w:val="00BB3322"/>
    <w:rsid w:val="00BB45CE"/>
    <w:rsid w:val="00BB4CAE"/>
    <w:rsid w:val="00BB71C5"/>
    <w:rsid w:val="00BE6734"/>
    <w:rsid w:val="00BF2C11"/>
    <w:rsid w:val="00C04896"/>
    <w:rsid w:val="00C100A0"/>
    <w:rsid w:val="00C444B3"/>
    <w:rsid w:val="00C4496F"/>
    <w:rsid w:val="00C60815"/>
    <w:rsid w:val="00C9523D"/>
    <w:rsid w:val="00C97A0D"/>
    <w:rsid w:val="00CA01E2"/>
    <w:rsid w:val="00CB0293"/>
    <w:rsid w:val="00CB40D6"/>
    <w:rsid w:val="00CC08EE"/>
    <w:rsid w:val="00CD44BA"/>
    <w:rsid w:val="00CD7E26"/>
    <w:rsid w:val="00CE00BE"/>
    <w:rsid w:val="00CE5DDC"/>
    <w:rsid w:val="00CE77E6"/>
    <w:rsid w:val="00D1104D"/>
    <w:rsid w:val="00D50AD6"/>
    <w:rsid w:val="00DA5132"/>
    <w:rsid w:val="00DB5B15"/>
    <w:rsid w:val="00DC6C4A"/>
    <w:rsid w:val="00DE50F2"/>
    <w:rsid w:val="00DF1310"/>
    <w:rsid w:val="00DF22A0"/>
    <w:rsid w:val="00E13C55"/>
    <w:rsid w:val="00E23F79"/>
    <w:rsid w:val="00E2425D"/>
    <w:rsid w:val="00E25E6F"/>
    <w:rsid w:val="00E421C0"/>
    <w:rsid w:val="00E42428"/>
    <w:rsid w:val="00E42491"/>
    <w:rsid w:val="00E425C2"/>
    <w:rsid w:val="00E43DB7"/>
    <w:rsid w:val="00E4734A"/>
    <w:rsid w:val="00E4786F"/>
    <w:rsid w:val="00E532AD"/>
    <w:rsid w:val="00E626AD"/>
    <w:rsid w:val="00E65A60"/>
    <w:rsid w:val="00E70644"/>
    <w:rsid w:val="00E8151A"/>
    <w:rsid w:val="00E9026A"/>
    <w:rsid w:val="00E91EAE"/>
    <w:rsid w:val="00EA784C"/>
    <w:rsid w:val="00ED39F8"/>
    <w:rsid w:val="00ED4DF8"/>
    <w:rsid w:val="00ED6B25"/>
    <w:rsid w:val="00EE0B0C"/>
    <w:rsid w:val="00EE67A7"/>
    <w:rsid w:val="00EE756B"/>
    <w:rsid w:val="00F0558E"/>
    <w:rsid w:val="00F06C51"/>
    <w:rsid w:val="00F06DA9"/>
    <w:rsid w:val="00F1784D"/>
    <w:rsid w:val="00F17990"/>
    <w:rsid w:val="00F17F4C"/>
    <w:rsid w:val="00F2676F"/>
    <w:rsid w:val="00F35321"/>
    <w:rsid w:val="00F37270"/>
    <w:rsid w:val="00F433F7"/>
    <w:rsid w:val="00F52F24"/>
    <w:rsid w:val="00F60038"/>
    <w:rsid w:val="00F62292"/>
    <w:rsid w:val="00F65BCE"/>
    <w:rsid w:val="00F75665"/>
    <w:rsid w:val="00F85DDA"/>
    <w:rsid w:val="00F93335"/>
    <w:rsid w:val="00F93B9A"/>
    <w:rsid w:val="00FB533A"/>
    <w:rsid w:val="00FB7DD9"/>
    <w:rsid w:val="00FC2858"/>
    <w:rsid w:val="00FC41B7"/>
    <w:rsid w:val="00FE07E4"/>
    <w:rsid w:val="00FE46AF"/>
    <w:rsid w:val="00FE491A"/>
    <w:rsid w:val="00FF2AF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A0003"/>
  <w15:docId w15:val="{7961F38A-147D-4276-BFB3-7C61ECC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o,Car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o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93B9A"/>
    <w:pPr>
      <w:spacing w:after="200" w:line="276" w:lineRule="auto"/>
    </w:pPr>
    <w:rPr>
      <w:rFonts w:ascii="Calibri" w:eastAsia="Calibri" w:hAnsi="Calibr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B9A"/>
    <w:rPr>
      <w:rFonts w:ascii="Calibri" w:eastAsia="Calibri" w:hAnsi="Calibri"/>
      <w:lang w:val="sk-SK"/>
    </w:rPr>
  </w:style>
  <w:style w:type="character" w:styleId="Odkaznakomentr">
    <w:name w:val="annotation reference"/>
    <w:uiPriority w:val="99"/>
    <w:unhideWhenUsed/>
    <w:rsid w:val="00F93B9A"/>
    <w:rPr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93B9A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63077C"/>
    <w:pPr>
      <w:spacing w:after="0" w:line="240" w:lineRule="auto"/>
    </w:pPr>
    <w:rPr>
      <w:rFonts w:ascii="Arial" w:eastAsia="Times New Roman" w:hAnsi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rsid w:val="0063077C"/>
    <w:rPr>
      <w:rFonts w:ascii="Arial" w:eastAsia="Calibri" w:hAnsi="Arial"/>
      <w:b/>
      <w:bCs/>
      <w:lang w:val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814EEF"/>
    <w:rPr>
      <w:rFonts w:ascii="Arial" w:hAnsi="Arial"/>
      <w:sz w:val="19"/>
      <w:szCs w:val="24"/>
    </w:rPr>
  </w:style>
  <w:style w:type="paragraph" w:styleId="Zoznamsodrkami">
    <w:name w:val="List Bullet"/>
    <w:basedOn w:val="Zkladntext"/>
    <w:unhideWhenUsed/>
    <w:qFormat/>
    <w:rsid w:val="001C66D8"/>
    <w:pPr>
      <w:numPr>
        <w:numId w:val="47"/>
      </w:numPr>
      <w:tabs>
        <w:tab w:val="clear" w:pos="340"/>
        <w:tab w:val="num" w:pos="284"/>
        <w:tab w:val="num" w:pos="360"/>
      </w:tabs>
      <w:spacing w:before="130" w:after="130"/>
      <w:ind w:left="0" w:firstLine="0"/>
      <w:jc w:val="both"/>
    </w:pPr>
    <w:rPr>
      <w:rFonts w:ascii="Times New Roman" w:hAnsi="Times New Roman"/>
      <w:sz w:val="22"/>
      <w:szCs w:val="20"/>
    </w:rPr>
  </w:style>
  <w:style w:type="paragraph" w:styleId="Zkladntext">
    <w:name w:val="Body Text"/>
    <w:basedOn w:val="Normlny"/>
    <w:link w:val="ZkladntextChar"/>
    <w:semiHidden/>
    <w:unhideWhenUsed/>
    <w:rsid w:val="001C66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1C66D8"/>
    <w:rPr>
      <w:rFonts w:ascii="Arial" w:hAnsi="Arial"/>
      <w:sz w:val="19"/>
      <w:szCs w:val="24"/>
    </w:rPr>
  </w:style>
  <w:style w:type="paragraph" w:customStyle="1" w:styleId="Default">
    <w:name w:val="Default"/>
    <w:rsid w:val="00E478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BA1D-35BE-4F70-9EF8-BC82CC83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43</cp:revision>
  <cp:lastPrinted>2006-02-10T13:19:00Z</cp:lastPrinted>
  <dcterms:created xsi:type="dcterms:W3CDTF">2015-10-30T13:37:00Z</dcterms:created>
  <dcterms:modified xsi:type="dcterms:W3CDTF">2016-03-04T09:09:00Z</dcterms:modified>
</cp:coreProperties>
</file>